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4373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7BFBB77">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2A4B36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7D678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D0254F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975B60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2C9B6A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2E1463E">
            <w:pPr>
              <w:pStyle w:val="49"/>
              <w:framePr w:w="0" w:hRule="auto" w:wrap="auto" w:vAnchor="margin" w:hAnchor="text" w:xAlign="left" w:yAlign="inline"/>
              <w:rPr>
                <w:rFonts w:ascii="宋体" w:hAnsi="宋体"/>
                <w:sz w:val="28"/>
                <w:szCs w:val="28"/>
              </w:rPr>
            </w:pPr>
            <w:bookmarkStart w:id="2" w:name="_Hlk26473981"/>
            <w:r>
              <w:rPr>
                <w:sz w:val="21"/>
                <w:szCs w:val="21"/>
              </w:rPr>
              <w:t xml:space="preserve"> </w:t>
            </w:r>
          </w:p>
        </w:tc>
      </w:tr>
    </w:tbl>
    <w:p w14:paraId="5EB29BED">
      <w:pPr>
        <w:pStyle w:val="50"/>
        <w:framePr w:w="9639" w:h="1291" w:hRule="exact" w:hSpace="181" w:vSpace="181" w:hAnchor="page" w:x="1305" w:y="1572"/>
        <w:rPr>
          <w:rFonts w:ascii="黑体" w:hAnsi="黑体" w:eastAsia="黑体"/>
          <w:b w:val="0"/>
          <w:bCs w:val="0"/>
          <w:w w:val="100"/>
          <w:sz w:val="84"/>
          <w:szCs w:val="84"/>
        </w:rPr>
      </w:pPr>
      <w:r>
        <w:rPr>
          <w:rFonts w:hint="eastAsia" w:ascii="黑体" w:hAnsi="黑体" w:eastAsia="黑体"/>
          <w:b w:val="0"/>
          <w:bCs w:val="0"/>
          <w:w w:val="100"/>
          <w:sz w:val="84"/>
          <w:szCs w:val="84"/>
        </w:rPr>
        <w:t>团体标准</w:t>
      </w:r>
    </w:p>
    <w:bookmarkEnd w:id="2"/>
    <w:p w14:paraId="4BA93FE3">
      <w:pPr>
        <w:pStyle w:val="195"/>
        <w:rPr>
          <w:lang w:val="fr-FR"/>
        </w:rPr>
      </w:pPr>
      <w:r>
        <w:rPr>
          <w:rFonts w:hint="eastAsia"/>
          <w:lang w:val="fr-FR"/>
        </w:rPr>
        <w:t xml:space="preserve">T/LZBX </w:t>
      </w:r>
      <w:r>
        <w:fldChar w:fldCharType="begin">
          <w:ffData>
            <w:name w:val="NSTD_CODE_F"/>
            <w:enabled/>
            <w:calcOnExit w:val="0"/>
            <w:textInput>
              <w:default w:val="XXXX"/>
            </w:textInput>
          </w:ffData>
        </w:fldChar>
      </w:r>
      <w:bookmarkStart w:id="3" w:name="NSTD_CODE_F"/>
      <w:r>
        <w:rPr>
          <w:lang w:val="fr-FR"/>
        </w:rPr>
        <w:instrText xml:space="preserve"> FORMTEXT </w:instrText>
      </w:r>
      <w:r>
        <w:fldChar w:fldCharType="separate"/>
      </w:r>
      <w:r>
        <w:rPr>
          <w:rFonts w:hint="eastAsia"/>
        </w:rPr>
        <w:t>XXXX</w:t>
      </w:r>
      <w:r>
        <w:fldChar w:fldCharType="end"/>
      </w:r>
      <w:bookmarkEnd w:id="3"/>
      <w:r>
        <w:rPr>
          <w:rFonts w:hAnsi="黑体"/>
          <w:lang w:val="fr-FR"/>
        </w:rPr>
        <w:t>—</w:t>
      </w:r>
      <w:r>
        <w:fldChar w:fldCharType="begin">
          <w:ffData>
            <w:name w:val="NSTD_CODE_B"/>
            <w:enabled/>
            <w:calcOnExit w:val="0"/>
            <w:textInput>
              <w:default w:val="XXXX"/>
            </w:textInput>
          </w:ffData>
        </w:fldChar>
      </w:r>
      <w:bookmarkStart w:id="4" w:name="NSTD_CODE_B"/>
      <w:r>
        <w:rPr>
          <w:lang w:val="fr-FR"/>
        </w:rPr>
        <w:instrText xml:space="preserve"> FORMTEXT </w:instrText>
      </w:r>
      <w:r>
        <w:fldChar w:fldCharType="separate"/>
      </w:r>
      <w:r>
        <w:rPr>
          <w:rFonts w:hint="eastAsia"/>
        </w:rPr>
        <w:t>XXXX</w:t>
      </w:r>
      <w:r>
        <w:fldChar w:fldCharType="end"/>
      </w:r>
      <w:bookmarkEnd w:id="4"/>
    </w:p>
    <w:p w14:paraId="46213D16">
      <w:pPr>
        <w:pStyle w:val="196"/>
        <w:rPr>
          <w:rFonts w:hAnsi="黑体"/>
        </w:rPr>
      </w:pPr>
    </w:p>
    <w:p w14:paraId="1AF96E9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FD475F9">
      <w:pPr>
        <w:pStyle w:val="50"/>
        <w:framePr w:w="9639" w:h="6976" w:hRule="exact" w:hSpace="0" w:vSpace="0" w:hAnchor="page" w:y="6408"/>
        <w:jc w:val="center"/>
        <w:rPr>
          <w:rFonts w:ascii="黑体" w:hAnsi="黑体" w:eastAsia="黑体"/>
          <w:b w:val="0"/>
          <w:bCs w:val="0"/>
          <w:w w:val="100"/>
        </w:rPr>
      </w:pPr>
    </w:p>
    <w:p w14:paraId="743A6D0C">
      <w:pPr>
        <w:pStyle w:val="197"/>
        <w:framePr w:h="6974" w:hRule="exact" w:wrap="around" w:x="1419" w:anchorLock="1"/>
      </w:pPr>
      <w:r>
        <w:fldChar w:fldCharType="begin">
          <w:ffData>
            <w:name w:val="CSTD_NAME"/>
            <w:enabled/>
            <w:calcOnExit w:val="0"/>
            <w:textInput>
              <w:default w:val="点击此处添加标准名称"/>
            </w:textInput>
          </w:ffData>
        </w:fldChar>
      </w:r>
      <w:bookmarkStart w:id="5" w:name="CSTD_NAME"/>
      <w:r>
        <w:instrText xml:space="preserve"> FORMTEXT </w:instrText>
      </w:r>
      <w:r>
        <w:fldChar w:fldCharType="separate"/>
      </w:r>
      <w:r>
        <w:rPr>
          <w:rFonts w:hint="eastAsia"/>
        </w:rPr>
        <w:t>茶树葡萄套种栽培技术规程</w:t>
      </w:r>
      <w:r>
        <w:fldChar w:fldCharType="end"/>
      </w:r>
      <w:bookmarkEnd w:id="5"/>
    </w:p>
    <w:p w14:paraId="651943D6">
      <w:pPr>
        <w:framePr w:w="9639" w:h="6974" w:hRule="exact" w:wrap="around" w:vAnchor="page" w:hAnchor="page" w:x="1419" w:y="6408" w:anchorLock="1"/>
        <w:ind w:left="-1418"/>
      </w:pPr>
    </w:p>
    <w:p w14:paraId="45FC24F9">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6"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code of practice for interplanting cultivation of tea and grape</w:t>
      </w:r>
      <w:r>
        <w:rPr>
          <w:rFonts w:ascii="黑体" w:hAnsi="黑体" w:eastAsia="黑体"/>
          <w:szCs w:val="28"/>
        </w:rPr>
        <w:fldChar w:fldCharType="end"/>
      </w:r>
      <w:bookmarkEnd w:id="6"/>
    </w:p>
    <w:p w14:paraId="02F3B853">
      <w:pPr>
        <w:framePr w:w="9639" w:h="6974" w:hRule="exact" w:wrap="around" w:vAnchor="page" w:hAnchor="page" w:x="1419" w:y="6408" w:anchorLock="1"/>
        <w:spacing w:line="760" w:lineRule="exact"/>
        <w:ind w:left="-1418"/>
      </w:pPr>
    </w:p>
    <w:p w14:paraId="4DE6BCEE">
      <w:pPr>
        <w:pStyle w:val="125"/>
        <w:framePr w:w="9639" w:h="6974" w:hRule="exact" w:wrap="around" w:vAnchor="page" w:hAnchor="page" w:x="1419" w:y="6408" w:anchorLock="1"/>
        <w:textAlignment w:val="bottom"/>
        <w:rPr>
          <w:rFonts w:eastAsia="黑体"/>
          <w:szCs w:val="28"/>
        </w:rPr>
      </w:pPr>
    </w:p>
    <w:p w14:paraId="53A050E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fldChar w:fldCharType="separate"/>
      </w:r>
      <w:r>
        <w:rPr>
          <w:sz w:val="24"/>
          <w:szCs w:val="28"/>
        </w:rPr>
        <w:fldChar w:fldCharType="end"/>
      </w:r>
      <w:bookmarkEnd w:id="7"/>
    </w:p>
    <w:p w14:paraId="1E5217DE">
      <w:pPr>
        <w:pStyle w:val="125"/>
        <w:framePr w:w="9639" w:h="6974" w:hRule="exact" w:wrap="around" w:vAnchor="page" w:hAnchor="page" w:x="1419" w:y="6408" w:anchorLock="1"/>
        <w:spacing w:before="180" w:line="240" w:lineRule="atLeast"/>
        <w:textAlignment w:val="bottom"/>
        <w:rPr>
          <w:sz w:val="21"/>
          <w:szCs w:val="28"/>
        </w:rPr>
      </w:pPr>
    </w:p>
    <w:p w14:paraId="79EF6941">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3E19C2D6">
      <w:pPr>
        <w:pStyle w:val="193"/>
        <w:framePr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0"/>
      <w:r>
        <w:rPr>
          <w:rFonts w:hint="eastAsia"/>
        </w:rPr>
        <w:t>发布</w:t>
      </w:r>
    </w:p>
    <w:p w14:paraId="6348F793">
      <w:pPr>
        <w:pStyle w:val="194"/>
        <w:framePr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3"/>
      <w:r>
        <w:rPr>
          <w:rFonts w:hint="eastAsia"/>
        </w:rPr>
        <w:t>实施</w:t>
      </w:r>
    </w:p>
    <w:p w14:paraId="468A9F99">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柳州市</w:t>
      </w:r>
      <w:r>
        <w:rPr>
          <w:rFonts w:hAnsi="黑体"/>
          <w:w w:val="100"/>
          <w:sz w:val="28"/>
        </w:rPr>
        <w:t>标准技术协会</w:t>
      </w:r>
      <w:r>
        <w:rPr>
          <w:rFonts w:hAnsi="黑体"/>
          <w:w w:val="100"/>
          <w:sz w:val="28"/>
        </w:rPr>
        <w:fldChar w:fldCharType="end"/>
      </w:r>
      <w:bookmarkEnd w:id="14"/>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20F8BAC">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365DBA4">
      <w:pPr>
        <w:pStyle w:val="89"/>
        <w:spacing w:before="900" w:after="468"/>
      </w:pPr>
      <w:bookmarkStart w:id="15" w:name="BookMark2"/>
      <w:r>
        <w:rPr>
          <w:spacing w:val="320"/>
        </w:rPr>
        <w:t>前</w:t>
      </w:r>
      <w:r>
        <w:t>言</w:t>
      </w:r>
    </w:p>
    <w:p w14:paraId="2765E33C">
      <w:pPr>
        <w:pStyle w:val="56"/>
        <w:ind w:firstLine="420"/>
      </w:pPr>
      <w:r>
        <w:rPr>
          <w:rFonts w:hint="eastAsia"/>
        </w:rPr>
        <w:t>本文件按照GB/T 1.1</w:t>
      </w:r>
      <w:bookmarkStart w:id="16" w:name="OLE_LINK7"/>
      <w:bookmarkStart w:id="17" w:name="OLE_LINK6"/>
      <w:r>
        <w:rPr>
          <w:rFonts w:hint="eastAsia"/>
        </w:rPr>
        <w:t>—</w:t>
      </w:r>
      <w:bookmarkEnd w:id="16"/>
      <w:bookmarkEnd w:id="17"/>
      <w:r>
        <w:rPr>
          <w:rFonts w:hint="eastAsia"/>
        </w:rPr>
        <w:t>2020《标准化工作导则  第1部分：标准化文件的结构和起草规则》的规定起草。</w:t>
      </w:r>
    </w:p>
    <w:p w14:paraId="43787AFE">
      <w:pPr>
        <w:pStyle w:val="56"/>
        <w:ind w:firstLine="420"/>
      </w:pPr>
      <w:r>
        <w:rPr>
          <w:rFonts w:hint="eastAsia"/>
        </w:rPr>
        <w:t>请注意本文件的某些内容可能涉及专利。本文件的发布机构不承担识别专利的责任。</w:t>
      </w:r>
    </w:p>
    <w:p w14:paraId="29C55E28">
      <w:pPr>
        <w:pStyle w:val="56"/>
        <w:ind w:firstLine="420"/>
      </w:pPr>
      <w:r>
        <w:rPr>
          <w:rFonts w:hint="eastAsia"/>
        </w:rPr>
        <w:t>本文件由</w:t>
      </w:r>
      <w:r>
        <w:rPr>
          <w:rFonts w:hint="eastAsia"/>
          <w:lang w:val="en-US" w:eastAsia="zh-CN"/>
        </w:rPr>
        <w:t>柳州市农业农村局</w:t>
      </w:r>
      <w:r>
        <w:rPr>
          <w:rFonts w:hint="eastAsia"/>
        </w:rPr>
        <w:t>提出。</w:t>
      </w:r>
    </w:p>
    <w:p w14:paraId="24551F88">
      <w:pPr>
        <w:pStyle w:val="56"/>
        <w:ind w:firstLine="420"/>
      </w:pPr>
      <w:r>
        <w:rPr>
          <w:rFonts w:hint="eastAsia"/>
        </w:rPr>
        <w:t>本文件由柳州市标准技术协会归口。</w:t>
      </w:r>
    </w:p>
    <w:p w14:paraId="242474B3">
      <w:pPr>
        <w:pStyle w:val="56"/>
        <w:ind w:firstLine="420"/>
      </w:pPr>
      <w:r>
        <w:rPr>
          <w:rFonts w:hint="eastAsia"/>
        </w:rPr>
        <w:t>本文件由</w:t>
      </w:r>
      <w:r>
        <w:rPr>
          <w:rFonts w:hint="eastAsia"/>
          <w:lang w:val="en-US" w:eastAsia="zh-CN"/>
        </w:rPr>
        <w:t>柳州市农业农村局</w:t>
      </w:r>
      <w:r>
        <w:rPr>
          <w:rFonts w:hint="eastAsia"/>
        </w:rPr>
        <w:t>宣贯。</w:t>
      </w:r>
    </w:p>
    <w:p w14:paraId="3872BAAC">
      <w:pPr>
        <w:pStyle w:val="56"/>
        <w:ind w:firstLine="420"/>
        <w:rPr>
          <w:rFonts w:hint="eastAsia"/>
        </w:rPr>
      </w:pPr>
      <w:r>
        <w:rPr>
          <w:rFonts w:hint="eastAsia"/>
        </w:rPr>
        <w:t>本文件起草单位：</w:t>
      </w:r>
      <w:r>
        <w:rPr>
          <w:rFonts w:hint="eastAsia"/>
          <w:lang w:eastAsia="zh-CN"/>
        </w:rPr>
        <w:t>三江侗族自治县茶叶发展中心、</w:t>
      </w:r>
      <w:r>
        <w:rPr>
          <w:rFonts w:hint="eastAsia"/>
        </w:rPr>
        <w:t>广西壮族自治区产品质量检验研究院、</w:t>
      </w:r>
      <w:r>
        <w:rPr>
          <w:rFonts w:hint="eastAsia"/>
          <w:lang w:eastAsia="zh-CN"/>
        </w:rPr>
        <w:t>柳州市农业技术推广中心、</w:t>
      </w:r>
      <w:r>
        <w:rPr>
          <w:rFonts w:hint="eastAsia"/>
        </w:rPr>
        <w:t>广西壮族自治区农业科学院、广西壮族自治区标准技术研究院、</w:t>
      </w:r>
      <w:r>
        <w:rPr>
          <w:rFonts w:hint="eastAsia"/>
          <w:lang w:val="en-US" w:eastAsia="zh-CN"/>
        </w:rPr>
        <w:t>三江县民心酒业有限公司、柳州城市职业学院</w:t>
      </w:r>
      <w:bookmarkStart w:id="41" w:name="_GoBack"/>
      <w:bookmarkEnd w:id="41"/>
      <w:r>
        <w:rPr>
          <w:rFonts w:hint="eastAsia"/>
        </w:rPr>
        <w:t>。</w:t>
      </w:r>
    </w:p>
    <w:p w14:paraId="6237CF20">
      <w:pPr>
        <w:pStyle w:val="56"/>
        <w:ind w:firstLine="420"/>
        <w:rPr>
          <w:rFonts w:hint="eastAsia"/>
        </w:rPr>
      </w:pPr>
      <w:r>
        <w:rPr>
          <w:rFonts w:hint="eastAsia"/>
        </w:rPr>
        <w:t>本文件主要起草人：</w:t>
      </w:r>
      <w:r>
        <w:rPr>
          <w:rFonts w:hint="eastAsia"/>
          <w:lang w:val="en-US" w:eastAsia="zh-CN"/>
        </w:rPr>
        <w:t>吴春群、</w:t>
      </w:r>
      <w:r>
        <w:rPr>
          <w:rFonts w:hint="eastAsia"/>
        </w:rPr>
        <w:t>容崎康、</w:t>
      </w:r>
      <w:r>
        <w:rPr>
          <w:rFonts w:hint="eastAsia"/>
          <w:lang w:val="en-US" w:eastAsia="zh-CN"/>
        </w:rPr>
        <w:t>葛智文、</w:t>
      </w:r>
      <w:r>
        <w:rPr>
          <w:rFonts w:hint="eastAsia"/>
        </w:rPr>
        <w:t>吉日文、</w:t>
      </w:r>
      <w:r>
        <w:rPr>
          <w:rFonts w:hint="eastAsia"/>
          <w:lang w:val="en-US" w:eastAsia="zh-CN"/>
        </w:rPr>
        <w:t>李红辉、</w:t>
      </w:r>
      <w:r>
        <w:rPr>
          <w:rFonts w:hint="eastAsia"/>
        </w:rPr>
        <w:t>钟瑾、莫筱芯、</w:t>
      </w:r>
      <w:r>
        <w:rPr>
          <w:rFonts w:hint="eastAsia"/>
          <w:lang w:val="en-US" w:eastAsia="zh-CN"/>
        </w:rPr>
        <w:t>宋昆儒、</w:t>
      </w:r>
      <w:r>
        <w:rPr>
          <w:rFonts w:hint="eastAsia"/>
        </w:rPr>
        <w:t>武志江、居军成、</w:t>
      </w:r>
      <w:r>
        <w:rPr>
          <w:rFonts w:hint="eastAsia"/>
          <w:lang w:val="en-US" w:eastAsia="zh-CN"/>
        </w:rPr>
        <w:t>杨春利、康日晖、</w:t>
      </w:r>
      <w:r>
        <w:rPr>
          <w:rFonts w:hint="eastAsia"/>
        </w:rPr>
        <w:t>罗琨、</w:t>
      </w:r>
      <w:r>
        <w:rPr>
          <w:rFonts w:hint="eastAsia"/>
          <w:lang w:val="en-US" w:eastAsia="zh-CN"/>
        </w:rPr>
        <w:t>侯渊、</w:t>
      </w:r>
      <w:r>
        <w:rPr>
          <w:rFonts w:hint="eastAsia"/>
        </w:rPr>
        <w:t>王健、</w:t>
      </w:r>
      <w:r>
        <w:rPr>
          <w:rFonts w:hint="eastAsia"/>
          <w:lang w:val="en-US" w:eastAsia="zh-CN"/>
        </w:rPr>
        <w:t>杨登、</w:t>
      </w:r>
      <w:r>
        <w:rPr>
          <w:rFonts w:hint="eastAsia"/>
        </w:rPr>
        <w:t>韦月早、覃献文、</w:t>
      </w:r>
      <w:r>
        <w:rPr>
          <w:rFonts w:hint="eastAsia"/>
          <w:lang w:val="en-US" w:eastAsia="zh-CN"/>
        </w:rPr>
        <w:t>吴婷曼、</w:t>
      </w:r>
      <w:r>
        <w:rPr>
          <w:rFonts w:hint="eastAsia"/>
        </w:rPr>
        <w:t>梁显菊</w:t>
      </w:r>
      <w:r>
        <w:rPr>
          <w:rFonts w:hint="eastAsia"/>
          <w:lang w:eastAsia="zh-CN"/>
        </w:rPr>
        <w:t>、伍彦知、</w:t>
      </w:r>
      <w:r>
        <w:rPr>
          <w:rFonts w:hint="eastAsia"/>
        </w:rPr>
        <w:t>韦立飞、</w:t>
      </w:r>
      <w:r>
        <w:rPr>
          <w:rFonts w:hint="eastAsia"/>
          <w:lang w:eastAsia="zh-CN"/>
        </w:rPr>
        <w:t>赖安国、</w:t>
      </w:r>
      <w:r>
        <w:rPr>
          <w:rFonts w:hint="eastAsia"/>
        </w:rPr>
        <w:t>黄晓晴、陈允发、</w:t>
      </w:r>
      <w:r>
        <w:rPr>
          <w:rFonts w:hint="eastAsia"/>
          <w:lang w:val="en-US" w:eastAsia="zh-CN"/>
        </w:rPr>
        <w:t>梁雨、石春鹏、</w:t>
      </w:r>
      <w:r>
        <w:rPr>
          <w:rFonts w:hint="eastAsia"/>
          <w:lang w:eastAsia="zh-CN"/>
        </w:rPr>
        <w:t>杨金伟、</w:t>
      </w:r>
      <w:r>
        <w:rPr>
          <w:rFonts w:hint="eastAsia"/>
          <w:lang w:val="en-US" w:eastAsia="zh-CN"/>
        </w:rPr>
        <w:t>徐涌菁、</w:t>
      </w:r>
      <w:r>
        <w:rPr>
          <w:rFonts w:hint="eastAsia"/>
          <w:lang w:eastAsia="zh-CN"/>
        </w:rPr>
        <w:t>黄韵霖、潘素婷、黄宵燕、</w:t>
      </w:r>
      <w:r>
        <w:rPr>
          <w:rFonts w:hint="eastAsia"/>
          <w:lang w:val="en-US" w:eastAsia="zh-CN"/>
        </w:rPr>
        <w:t>杨光泽</w:t>
      </w:r>
      <w:r>
        <w:rPr>
          <w:rFonts w:hint="eastAsia"/>
        </w:rPr>
        <w:t>。</w:t>
      </w:r>
    </w:p>
    <w:p w14:paraId="140A1F9D">
      <w:pPr>
        <w:pStyle w:val="56"/>
        <w:ind w:firstLine="420"/>
      </w:pPr>
    </w:p>
    <w:p w14:paraId="30C5333C">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5"/>
    <w:p w14:paraId="357A8DC9">
      <w:pPr>
        <w:spacing w:line="20" w:lineRule="exact"/>
        <w:jc w:val="center"/>
        <w:rPr>
          <w:rFonts w:ascii="黑体" w:hAnsi="黑体" w:eastAsia="黑体"/>
          <w:sz w:val="32"/>
          <w:szCs w:val="32"/>
        </w:rPr>
      </w:pPr>
      <w:bookmarkStart w:id="18" w:name="BookMark4"/>
    </w:p>
    <w:p w14:paraId="23607FBC">
      <w:pPr>
        <w:spacing w:line="20" w:lineRule="exact"/>
        <w:jc w:val="center"/>
        <w:rPr>
          <w:rFonts w:ascii="黑体" w:hAnsi="黑体" w:eastAsia="黑体"/>
          <w:sz w:val="32"/>
          <w:szCs w:val="32"/>
        </w:rPr>
      </w:pPr>
    </w:p>
    <w:sdt>
      <w:sdtPr>
        <w:tag w:val="NEW_STAND_NAME"/>
        <w:id w:val="595910757"/>
        <w:lock w:val="sdtLocked"/>
        <w:placeholder>
          <w:docPart w:val="0CD6B78F41AD4AB689BC7337D8669508"/>
        </w:placeholder>
      </w:sdtPr>
      <w:sdtContent>
        <w:p w14:paraId="0300AA2D">
          <w:pPr>
            <w:pStyle w:val="177"/>
            <w:spacing w:before="3" w:beforeLines="1" w:after="686" w:afterLines="220"/>
          </w:pPr>
          <w:bookmarkStart w:id="19" w:name="NEW_STAND_NAME"/>
          <w:r>
            <w:rPr>
              <w:rFonts w:hint="eastAsia"/>
              <w:color w:val="auto"/>
            </w:rPr>
            <w:t>茶</w:t>
          </w:r>
          <w:r>
            <w:rPr>
              <w:rFonts w:hint="eastAsia"/>
              <w:color w:val="auto"/>
              <w:lang w:eastAsia="zh-CN"/>
            </w:rPr>
            <w:t>树</w:t>
          </w:r>
          <w:r>
            <w:rPr>
              <w:rFonts w:hint="eastAsia"/>
              <w:color w:val="auto"/>
            </w:rPr>
            <w:t>葡萄套种栽培技术规程</w:t>
          </w:r>
        </w:p>
      </w:sdtContent>
    </w:sdt>
    <w:bookmarkEnd w:id="19"/>
    <w:p w14:paraId="0E959159">
      <w:pPr>
        <w:pStyle w:val="104"/>
        <w:spacing w:before="312" w:after="312"/>
      </w:pPr>
      <w:bookmarkStart w:id="20" w:name="_Toc24884218"/>
      <w:bookmarkStart w:id="21" w:name="_Toc26986530"/>
      <w:bookmarkStart w:id="22" w:name="_Toc26986771"/>
      <w:bookmarkStart w:id="23" w:name="_Toc24884211"/>
      <w:bookmarkStart w:id="24" w:name="_Toc97191423"/>
      <w:bookmarkStart w:id="25" w:name="_Toc26718930"/>
      <w:bookmarkStart w:id="26" w:name="_Toc17233333"/>
      <w:bookmarkStart w:id="27" w:name="_Toc17233325"/>
      <w:bookmarkStart w:id="28" w:name="_Toc26648465"/>
      <w:r>
        <w:rPr>
          <w:rFonts w:hint="eastAsia"/>
        </w:rPr>
        <w:t>范围</w:t>
      </w:r>
      <w:bookmarkEnd w:id="20"/>
      <w:bookmarkEnd w:id="21"/>
      <w:bookmarkEnd w:id="22"/>
      <w:bookmarkEnd w:id="23"/>
      <w:bookmarkEnd w:id="24"/>
      <w:bookmarkEnd w:id="25"/>
      <w:bookmarkEnd w:id="26"/>
      <w:bookmarkEnd w:id="27"/>
      <w:bookmarkEnd w:id="28"/>
    </w:p>
    <w:p w14:paraId="5807698F">
      <w:pPr>
        <w:pStyle w:val="56"/>
        <w:ind w:firstLine="420"/>
      </w:pPr>
      <w:bookmarkStart w:id="29" w:name="_Toc24884219"/>
      <w:bookmarkStart w:id="30" w:name="_Toc17233334"/>
      <w:bookmarkStart w:id="31" w:name="_Toc26648466"/>
      <w:bookmarkStart w:id="32" w:name="_Toc17233326"/>
      <w:bookmarkStart w:id="33" w:name="_Toc24884212"/>
      <w:r>
        <w:rPr>
          <w:rFonts w:hint="eastAsia"/>
        </w:rPr>
        <w:t>本文件规定了</w:t>
      </w:r>
      <w:r>
        <w:rPr>
          <w:rFonts w:hint="eastAsia"/>
          <w:color w:val="auto"/>
        </w:rPr>
        <w:t>茶</w:t>
      </w:r>
      <w:r>
        <w:rPr>
          <w:rFonts w:hint="eastAsia"/>
          <w:color w:val="auto"/>
          <w:lang w:eastAsia="zh-CN"/>
        </w:rPr>
        <w:t>树</w:t>
      </w:r>
      <w:r>
        <w:rPr>
          <w:rFonts w:hint="eastAsia"/>
          <w:color w:val="auto"/>
        </w:rPr>
        <w:t>葡萄套种技术涉及的术语和定义，确立了茶</w:t>
      </w:r>
      <w:r>
        <w:rPr>
          <w:rFonts w:hint="eastAsia"/>
          <w:color w:val="auto"/>
          <w:lang w:eastAsia="zh-CN"/>
        </w:rPr>
        <w:t>树</w:t>
      </w:r>
      <w:r>
        <w:rPr>
          <w:rFonts w:hint="eastAsia"/>
          <w:color w:val="auto"/>
        </w:rPr>
        <w:t>葡萄套种栽培技术的程序，规定了园地选择、</w:t>
      </w:r>
      <w:r>
        <w:rPr>
          <w:rFonts w:hint="eastAsia"/>
          <w:color w:val="auto"/>
          <w:lang w:val="en-US" w:eastAsia="zh-CN"/>
        </w:rPr>
        <w:t>种苗</w:t>
      </w:r>
      <w:r>
        <w:rPr>
          <w:rFonts w:hint="eastAsia"/>
          <w:color w:val="auto"/>
        </w:rPr>
        <w:t>选择、</w:t>
      </w:r>
      <w:r>
        <w:rPr>
          <w:rFonts w:hint="eastAsia"/>
          <w:color w:val="auto"/>
          <w:lang w:val="en-US" w:eastAsia="zh-CN"/>
        </w:rPr>
        <w:t>整地施肥</w:t>
      </w:r>
      <w:r>
        <w:rPr>
          <w:rFonts w:hint="eastAsia"/>
          <w:color w:val="auto"/>
        </w:rPr>
        <w:t>、定植、葡萄架搭建、</w:t>
      </w:r>
      <w:r>
        <w:rPr>
          <w:rFonts w:hint="eastAsia"/>
          <w:color w:val="auto"/>
          <w:lang w:val="en-US" w:eastAsia="zh-CN"/>
        </w:rPr>
        <w:t>栽培</w:t>
      </w:r>
      <w:r>
        <w:rPr>
          <w:rFonts w:hint="eastAsia"/>
          <w:color w:val="auto"/>
        </w:rPr>
        <w:t>管理、</w:t>
      </w:r>
      <w:r>
        <w:rPr>
          <w:rFonts w:hint="eastAsia"/>
          <w:color w:val="auto"/>
          <w:lang w:eastAsia="zh-CN"/>
        </w:rPr>
        <w:t>主要</w:t>
      </w:r>
      <w:r>
        <w:rPr>
          <w:rFonts w:hint="eastAsia"/>
          <w:color w:val="auto"/>
        </w:rPr>
        <w:t>病虫害防治等各环节的操作</w:t>
      </w:r>
      <w:r>
        <w:rPr>
          <w:rFonts w:hint="eastAsia"/>
          <w:color w:val="auto"/>
          <w:lang w:val="en-US" w:eastAsia="zh-CN"/>
        </w:rPr>
        <w:t>要求</w:t>
      </w:r>
      <w:r>
        <w:rPr>
          <w:rFonts w:hint="eastAsia"/>
          <w:color w:val="auto"/>
        </w:rPr>
        <w:t>。</w:t>
      </w:r>
    </w:p>
    <w:p w14:paraId="1C0C0ACB">
      <w:pPr>
        <w:pStyle w:val="56"/>
        <w:ind w:firstLine="420"/>
      </w:pPr>
      <w:r>
        <w:rPr>
          <w:rFonts w:hint="eastAsia"/>
        </w:rPr>
        <w:t>本文件适用于</w:t>
      </w:r>
      <w:r>
        <w:rPr>
          <w:rFonts w:hint="eastAsia"/>
          <w:color w:val="auto"/>
        </w:rPr>
        <w:t>柳州区域内茶</w:t>
      </w:r>
      <w:r>
        <w:rPr>
          <w:rFonts w:hint="eastAsia"/>
          <w:color w:val="auto"/>
          <w:lang w:eastAsia="zh-CN"/>
        </w:rPr>
        <w:t>树</w:t>
      </w:r>
      <w:r>
        <w:rPr>
          <w:rFonts w:hint="eastAsia"/>
          <w:color w:val="auto"/>
        </w:rPr>
        <w:t>葡萄套种栽培。</w:t>
      </w:r>
    </w:p>
    <w:p w14:paraId="1E83308D">
      <w:pPr>
        <w:pStyle w:val="104"/>
        <w:spacing w:before="312" w:after="312"/>
      </w:pPr>
      <w:bookmarkStart w:id="34" w:name="_Toc97191424"/>
      <w:bookmarkStart w:id="35" w:name="_Toc26718931"/>
      <w:bookmarkStart w:id="36" w:name="_Toc26986531"/>
      <w:bookmarkStart w:id="37" w:name="_Toc26986772"/>
      <w:r>
        <w:rPr>
          <w:rFonts w:hint="eastAsia"/>
        </w:rPr>
        <w:t>规范性引用文件</w:t>
      </w:r>
      <w:bookmarkEnd w:id="29"/>
      <w:bookmarkEnd w:id="30"/>
      <w:bookmarkEnd w:id="31"/>
      <w:bookmarkEnd w:id="32"/>
      <w:bookmarkEnd w:id="33"/>
      <w:bookmarkEnd w:id="34"/>
      <w:bookmarkEnd w:id="35"/>
      <w:bookmarkEnd w:id="36"/>
      <w:bookmarkEnd w:id="37"/>
    </w:p>
    <w:sdt>
      <w:sdtPr>
        <w:rPr>
          <w:rFonts w:hint="eastAsia"/>
        </w:rPr>
        <w:id w:val="715848253"/>
        <w:placeholder>
          <w:docPart w:val="D980E5D57BA146F689FF01AEC171D01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1100BEF">
          <w:pPr>
            <w:pStyle w:val="56"/>
            <w:ind w:firstLine="42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03B2094">
      <w:pPr>
        <w:pStyle w:val="56"/>
        <w:ind w:firstLine="420"/>
        <w:rPr>
          <w:rFonts w:hint="eastAsia"/>
          <w:color w:val="auto"/>
        </w:rPr>
      </w:pPr>
      <w:r>
        <w:rPr>
          <w:rFonts w:hint="eastAsia"/>
          <w:color w:val="auto"/>
        </w:rPr>
        <w:t xml:space="preserve">GB 3095  </w:t>
      </w:r>
      <w:r>
        <w:rPr>
          <w:rFonts w:hint="eastAsia" w:hAnsi="宋体" w:cs="ËÎÌå"/>
          <w:color w:val="auto"/>
          <w:szCs w:val="21"/>
        </w:rPr>
        <w:t>环境空气质量标准</w:t>
      </w:r>
    </w:p>
    <w:p w14:paraId="504F27AE">
      <w:pPr>
        <w:pStyle w:val="56"/>
        <w:ind w:firstLine="420"/>
        <w:rPr>
          <w:rFonts w:hint="eastAsia"/>
          <w:color w:val="auto"/>
        </w:rPr>
      </w:pPr>
      <w:r>
        <w:rPr>
          <w:rFonts w:hint="eastAsia"/>
          <w:color w:val="auto"/>
        </w:rPr>
        <w:t>GB 5084  农田灌溉水质标准</w:t>
      </w:r>
    </w:p>
    <w:p w14:paraId="505EB9FC">
      <w:pPr>
        <w:pStyle w:val="56"/>
        <w:ind w:firstLine="420"/>
        <w:rPr>
          <w:rFonts w:hint="eastAsia" w:hAnsi="宋体" w:cs="ËÎÌå"/>
          <w:color w:val="auto"/>
          <w:szCs w:val="21"/>
        </w:rPr>
      </w:pPr>
      <w:r>
        <w:rPr>
          <w:rFonts w:hint="eastAsia"/>
          <w:color w:val="auto"/>
        </w:rPr>
        <w:t>GB/T 832</w:t>
      </w:r>
      <w:r>
        <w:rPr>
          <w:rFonts w:hint="eastAsia"/>
          <w:color w:val="auto"/>
          <w:lang w:val="en-US" w:eastAsia="zh-CN"/>
        </w:rPr>
        <w:t>1</w:t>
      </w:r>
      <w:r>
        <w:rPr>
          <w:rFonts w:hint="eastAsia"/>
          <w:color w:val="auto"/>
        </w:rPr>
        <w:t>（所有部分）</w:t>
      </w:r>
      <w:r>
        <w:rPr>
          <w:rFonts w:hint="eastAsia"/>
          <w:color w:val="auto"/>
          <w:lang w:val="en-US" w:eastAsia="zh-CN"/>
        </w:rPr>
        <w:t xml:space="preserve">  </w:t>
      </w:r>
      <w:r>
        <w:rPr>
          <w:rFonts w:hint="eastAsia"/>
          <w:color w:val="auto"/>
        </w:rPr>
        <w:t>农药合理使用准则</w:t>
      </w:r>
    </w:p>
    <w:p w14:paraId="33B7AD51">
      <w:pPr>
        <w:pStyle w:val="56"/>
        <w:ind w:firstLine="420"/>
        <w:rPr>
          <w:rFonts w:hint="eastAsia"/>
          <w:color w:val="auto"/>
        </w:rPr>
      </w:pPr>
      <w:r>
        <w:rPr>
          <w:rFonts w:hint="eastAsia"/>
          <w:color w:val="auto"/>
        </w:rPr>
        <w:t xml:space="preserve">GB 11767 </w:t>
      </w:r>
      <w:r>
        <w:rPr>
          <w:rFonts w:hint="eastAsia"/>
          <w:color w:val="auto"/>
          <w:lang w:val="en-US" w:eastAsia="zh-CN"/>
        </w:rPr>
        <w:t xml:space="preserve"> </w:t>
      </w:r>
      <w:r>
        <w:rPr>
          <w:rFonts w:hint="eastAsia"/>
          <w:color w:val="auto"/>
        </w:rPr>
        <w:t>茶树种苗</w:t>
      </w:r>
    </w:p>
    <w:p w14:paraId="3B1937A2">
      <w:pPr>
        <w:pStyle w:val="56"/>
        <w:ind w:firstLine="420"/>
        <w:rPr>
          <w:rFonts w:hint="eastAsia"/>
          <w:color w:val="auto"/>
        </w:rPr>
      </w:pPr>
      <w:r>
        <w:rPr>
          <w:rFonts w:hint="eastAsia"/>
          <w:color w:val="auto"/>
        </w:rPr>
        <w:t xml:space="preserve">GB 15618 </w:t>
      </w:r>
      <w:r>
        <w:rPr>
          <w:rFonts w:hint="eastAsia"/>
          <w:color w:val="auto"/>
          <w:lang w:val="en-US" w:eastAsia="zh-CN"/>
        </w:rPr>
        <w:t xml:space="preserve"> </w:t>
      </w:r>
      <w:r>
        <w:rPr>
          <w:rFonts w:hint="eastAsia"/>
          <w:color w:val="auto"/>
        </w:rPr>
        <w:t>土壤环境质量 农用地土壤污染风险管控标准（试行）</w:t>
      </w:r>
    </w:p>
    <w:p w14:paraId="22DBCD95">
      <w:pPr>
        <w:pStyle w:val="56"/>
        <w:ind w:firstLine="420"/>
        <w:rPr>
          <w:rFonts w:hint="eastAsia" w:hAnsi="宋体" w:cs="ËÎÌå"/>
          <w:color w:val="auto"/>
          <w:szCs w:val="21"/>
        </w:rPr>
      </w:pPr>
      <w:r>
        <w:rPr>
          <w:rFonts w:hint="eastAsia"/>
          <w:color w:val="auto"/>
        </w:rPr>
        <w:t xml:space="preserve">NY 469  </w:t>
      </w:r>
      <w:r>
        <w:rPr>
          <w:rFonts w:hint="eastAsia" w:hAnsi="宋体" w:cs="ËÎÌå"/>
          <w:color w:val="auto"/>
          <w:szCs w:val="21"/>
        </w:rPr>
        <w:t>葡萄苗木</w:t>
      </w:r>
    </w:p>
    <w:p w14:paraId="4239BA8A">
      <w:pPr>
        <w:pStyle w:val="56"/>
        <w:ind w:firstLine="420"/>
        <w:rPr>
          <w:rFonts w:hint="eastAsia"/>
          <w:color w:val="auto"/>
          <w:lang w:val="en-US" w:eastAsia="zh-CN"/>
        </w:rPr>
      </w:pPr>
      <w:r>
        <w:rPr>
          <w:rFonts w:hint="eastAsia"/>
          <w:color w:val="auto"/>
        </w:rPr>
        <w:t>NY</w:t>
      </w:r>
      <w:r>
        <w:rPr>
          <w:rFonts w:hint="eastAsia"/>
          <w:color w:val="auto"/>
          <w:lang w:val="en-US" w:eastAsia="zh-CN"/>
        </w:rPr>
        <w:t>/T</w:t>
      </w:r>
      <w:r>
        <w:rPr>
          <w:rFonts w:hint="eastAsia"/>
          <w:color w:val="auto"/>
        </w:rPr>
        <w:t xml:space="preserve"> </w:t>
      </w:r>
      <w:r>
        <w:rPr>
          <w:rFonts w:hint="eastAsia"/>
          <w:color w:val="auto"/>
          <w:lang w:val="en-US" w:eastAsia="zh-CN"/>
        </w:rPr>
        <w:t>5018</w:t>
      </w:r>
      <w:r>
        <w:rPr>
          <w:rFonts w:hint="eastAsia"/>
          <w:color w:val="auto"/>
        </w:rPr>
        <w:t xml:space="preserve">  </w:t>
      </w:r>
      <w:r>
        <w:rPr>
          <w:rFonts w:hint="eastAsia"/>
          <w:color w:val="auto"/>
          <w:lang w:val="en-US" w:eastAsia="zh-CN"/>
        </w:rPr>
        <w:t>茶叶生产技术规程</w:t>
      </w:r>
    </w:p>
    <w:p w14:paraId="6171B95E">
      <w:pPr>
        <w:pStyle w:val="56"/>
        <w:ind w:firstLine="420"/>
        <w:rPr>
          <w:rFonts w:hint="eastAsia"/>
          <w:color w:val="auto"/>
        </w:rPr>
      </w:pPr>
      <w:r>
        <w:rPr>
          <w:rFonts w:hint="eastAsia"/>
          <w:color w:val="auto"/>
          <w:lang w:val="en-US" w:eastAsia="zh-CN"/>
        </w:rPr>
        <w:t>DB45/T</w:t>
      </w:r>
      <w:r>
        <w:rPr>
          <w:rFonts w:hint="eastAsia"/>
          <w:color w:val="auto"/>
        </w:rPr>
        <w:t xml:space="preserve"> </w:t>
      </w:r>
      <w:r>
        <w:rPr>
          <w:rFonts w:hint="eastAsia"/>
          <w:color w:val="auto"/>
          <w:lang w:val="en-US" w:eastAsia="zh-CN"/>
        </w:rPr>
        <w:t>1798</w:t>
      </w:r>
      <w:r>
        <w:rPr>
          <w:rFonts w:hint="eastAsia"/>
          <w:color w:val="auto"/>
        </w:rPr>
        <w:t xml:space="preserve">  “野酿2号”毛葡萄栽培技术规程</w:t>
      </w:r>
    </w:p>
    <w:p w14:paraId="4EB64827">
      <w:pPr>
        <w:pStyle w:val="56"/>
        <w:ind w:firstLine="420"/>
        <w:rPr>
          <w:rFonts w:hint="default"/>
          <w:color w:val="auto"/>
          <w:highlight w:val="none"/>
          <w:lang w:val="en-US" w:eastAsia="zh-CN"/>
        </w:rPr>
      </w:pPr>
      <w:r>
        <w:rPr>
          <w:rFonts w:hint="eastAsia"/>
          <w:color w:val="auto"/>
          <w:highlight w:val="none"/>
        </w:rPr>
        <w:t xml:space="preserve">T/LZBX 025  </w:t>
      </w:r>
      <w:r>
        <w:rPr>
          <w:rFonts w:hint="eastAsia"/>
          <w:color w:val="auto"/>
          <w:highlight w:val="none"/>
          <w:lang w:val="en-US" w:eastAsia="zh-CN"/>
        </w:rPr>
        <w:t>茶园病虫害绿色防控技术规程</w:t>
      </w:r>
    </w:p>
    <w:p w14:paraId="1195A893">
      <w:pPr>
        <w:pStyle w:val="56"/>
        <w:ind w:firstLine="420"/>
        <w:rPr>
          <w:rFonts w:hint="eastAsia"/>
        </w:rPr>
      </w:pPr>
    </w:p>
    <w:p w14:paraId="2F60091D">
      <w:pPr>
        <w:pStyle w:val="104"/>
        <w:spacing w:before="312" w:after="312"/>
      </w:pPr>
      <w:bookmarkStart w:id="38" w:name="_Toc97191425"/>
      <w:r>
        <w:rPr>
          <w:rFonts w:hint="eastAsia"/>
          <w:szCs w:val="21"/>
        </w:rPr>
        <w:t>术语和定义</w:t>
      </w:r>
      <w:bookmarkEnd w:id="38"/>
    </w:p>
    <w:sdt>
      <w:sdtPr>
        <w:id w:val="-1909835108"/>
        <w:placeholder>
          <w:docPart w:val="51411411CDBB43749FAC5A3B5838E8A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907AC6D">
          <w:pPr>
            <w:pStyle w:val="56"/>
            <w:ind w:firstLine="420"/>
          </w:pPr>
          <w:bookmarkStart w:id="39" w:name="_Toc26986532"/>
          <w:bookmarkEnd w:id="39"/>
          <w:r>
            <w:t>下列术语和定义适用于本文件。</w:t>
          </w:r>
        </w:p>
      </w:sdtContent>
    </w:sdt>
    <w:p w14:paraId="1B929A0B">
      <w:pPr>
        <w:pStyle w:val="223"/>
        <w:spacing w:before="156" w:beforeLines="50" w:after="156" w:afterLines="50"/>
        <w:outlineLvl w:val="1"/>
        <w:rPr>
          <w:rFonts w:hint="eastAsia" w:ascii="黑体" w:hAnsi="黑体" w:eastAsia="黑体"/>
          <w:color w:val="auto"/>
          <w:highlight w:val="none"/>
        </w:rPr>
      </w:pPr>
    </w:p>
    <w:p w14:paraId="29C51649">
      <w:pPr>
        <w:pStyle w:val="223"/>
        <w:keepNext w:val="0"/>
        <w:keepLines w:val="0"/>
        <w:pageBreakBefore w:val="0"/>
        <w:widowControl/>
        <w:numPr>
          <w:ilvl w:val="2"/>
          <w:numId w:val="0"/>
        </w:numPr>
        <w:kinsoku/>
        <w:wordWrap/>
        <w:overflowPunct/>
        <w:topLinePunct w:val="0"/>
        <w:autoSpaceDE/>
        <w:autoSpaceDN/>
        <w:bidi w:val="0"/>
        <w:adjustRightInd/>
        <w:snapToGrid/>
        <w:spacing w:before="156" w:beforeLines="50" w:after="156" w:afterLines="50"/>
        <w:ind w:leftChars="0" w:firstLine="420" w:firstLineChars="200"/>
        <w:textAlignment w:val="auto"/>
        <w:outlineLvl w:val="1"/>
        <w:rPr>
          <w:rFonts w:hint="eastAsia" w:ascii="黑体" w:hAnsi="黑体" w:eastAsia="黑体"/>
          <w:color w:val="auto"/>
          <w:highlight w:val="none"/>
        </w:rPr>
      </w:pPr>
      <w:r>
        <w:rPr>
          <w:rFonts w:hint="eastAsia" w:ascii="黑体" w:hAnsi="黑体" w:eastAsia="黑体"/>
          <w:color w:val="auto"/>
          <w:highlight w:val="none"/>
        </w:rPr>
        <w:t>茶</w:t>
      </w:r>
      <w:r>
        <w:rPr>
          <w:rFonts w:hint="eastAsia" w:ascii="黑体" w:hAnsi="黑体" w:eastAsia="黑体"/>
          <w:color w:val="auto"/>
          <w:highlight w:val="none"/>
          <w:lang w:eastAsia="zh-CN"/>
        </w:rPr>
        <w:t>树</w:t>
      </w:r>
      <w:r>
        <w:rPr>
          <w:rFonts w:hint="eastAsia" w:ascii="黑体" w:hAnsi="黑体" w:eastAsia="黑体"/>
          <w:color w:val="auto"/>
          <w:highlight w:val="none"/>
        </w:rPr>
        <w:t>葡萄套种栽培</w:t>
      </w:r>
      <w:r>
        <w:rPr>
          <w:rFonts w:hint="eastAsia" w:ascii="黑体" w:hAnsi="黑体" w:eastAsia="黑体"/>
          <w:color w:val="auto"/>
          <w:szCs w:val="28"/>
          <w:highlight w:val="none"/>
        </w:rPr>
        <w:t>interp</w:t>
      </w:r>
      <w:r>
        <w:rPr>
          <w:rFonts w:hint="eastAsia" w:ascii="黑体" w:hAnsi="黑体" w:eastAsia="黑体"/>
          <w:color w:val="auto"/>
          <w:szCs w:val="28"/>
          <w:highlight w:val="none"/>
          <w:lang w:val="en-US" w:eastAsia="zh-CN"/>
        </w:rPr>
        <w:t>l</w:t>
      </w:r>
      <w:r>
        <w:rPr>
          <w:rFonts w:hint="eastAsia" w:ascii="黑体" w:hAnsi="黑体" w:eastAsia="黑体"/>
          <w:color w:val="auto"/>
          <w:szCs w:val="28"/>
          <w:highlight w:val="none"/>
        </w:rPr>
        <w:t>antin</w:t>
      </w:r>
      <w:r>
        <w:rPr>
          <w:rFonts w:hint="eastAsia" w:ascii="黑体" w:hAnsi="黑体" w:eastAsia="黑体"/>
          <w:color w:val="auto"/>
          <w:szCs w:val="28"/>
          <w:highlight w:val="none"/>
          <w:lang w:val="en-US" w:eastAsia="zh-CN"/>
        </w:rPr>
        <w:t xml:space="preserve">g </w:t>
      </w:r>
      <w:r>
        <w:rPr>
          <w:rFonts w:hint="eastAsia" w:ascii="黑体" w:hAnsi="黑体" w:eastAsia="黑体"/>
          <w:color w:val="auto"/>
          <w:highlight w:val="none"/>
        </w:rPr>
        <w:t>cultivation</w:t>
      </w:r>
      <w:r>
        <w:rPr>
          <w:rFonts w:hint="eastAsia" w:ascii="黑体" w:hAnsi="黑体" w:eastAsia="黑体"/>
          <w:color w:val="auto"/>
          <w:highlight w:val="none"/>
          <w:lang w:val="en-US" w:eastAsia="zh-CN"/>
        </w:rPr>
        <w:t xml:space="preserve"> of</w:t>
      </w:r>
      <w:r>
        <w:rPr>
          <w:rFonts w:hint="eastAsia" w:ascii="黑体" w:hAnsi="黑体" w:eastAsia="黑体"/>
          <w:color w:val="auto"/>
          <w:highlight w:val="none"/>
        </w:rPr>
        <w:t xml:space="preserve"> t</w:t>
      </w:r>
      <w:r>
        <w:rPr>
          <w:rFonts w:hint="eastAsia" w:ascii="黑体" w:hAnsi="黑体" w:eastAsia="黑体"/>
          <w:color w:val="auto"/>
          <w:szCs w:val="28"/>
          <w:highlight w:val="none"/>
        </w:rPr>
        <w:t>ea</w:t>
      </w:r>
      <w:r>
        <w:rPr>
          <w:rFonts w:hint="eastAsia" w:ascii="黑体" w:hAnsi="黑体" w:eastAsia="黑体"/>
          <w:color w:val="auto"/>
          <w:szCs w:val="28"/>
          <w:highlight w:val="none"/>
          <w:lang w:val="en-US" w:eastAsia="zh-CN"/>
        </w:rPr>
        <w:t xml:space="preserve"> and</w:t>
      </w:r>
      <w:r>
        <w:rPr>
          <w:rFonts w:hint="eastAsia" w:ascii="黑体" w:hAnsi="黑体" w:eastAsia="黑体"/>
          <w:color w:val="auto"/>
          <w:szCs w:val="28"/>
          <w:highlight w:val="none"/>
        </w:rPr>
        <w:t xml:space="preserve"> grape</w:t>
      </w:r>
    </w:p>
    <w:p w14:paraId="17C21F99">
      <w:pPr>
        <w:pStyle w:val="56"/>
        <w:ind w:firstLine="420"/>
        <w:rPr>
          <w:rFonts w:hint="eastAsia"/>
          <w:color w:val="auto"/>
          <w:highlight w:val="none"/>
        </w:rPr>
      </w:pPr>
      <w:r>
        <w:rPr>
          <w:rFonts w:hint="eastAsia"/>
          <w:color w:val="auto"/>
          <w:highlight w:val="none"/>
        </w:rPr>
        <w:t>在</w:t>
      </w:r>
      <w:r>
        <w:rPr>
          <w:rFonts w:hint="eastAsia"/>
          <w:color w:val="auto"/>
          <w:highlight w:val="none"/>
          <w:lang w:val="en-US" w:eastAsia="zh-CN"/>
        </w:rPr>
        <w:t>同一园地种植茶树、葡萄，实现茶树、葡萄共生长的一种立体栽培模式</w:t>
      </w:r>
      <w:r>
        <w:rPr>
          <w:rFonts w:hint="eastAsia"/>
          <w:color w:val="auto"/>
          <w:highlight w:val="none"/>
        </w:rPr>
        <w:t>。</w:t>
      </w:r>
    </w:p>
    <w:p w14:paraId="77A8384B">
      <w:pPr>
        <w:pStyle w:val="104"/>
        <w:spacing w:before="312" w:after="312"/>
        <w:rPr>
          <w:color w:val="auto"/>
          <w:highlight w:val="none"/>
        </w:rPr>
      </w:pPr>
      <w:r>
        <w:rPr>
          <w:rFonts w:hint="eastAsia"/>
          <w:color w:val="auto"/>
          <w:highlight w:val="none"/>
        </w:rPr>
        <w:t>园地选择</w:t>
      </w:r>
    </w:p>
    <w:p w14:paraId="1DCBFB1A">
      <w:pPr>
        <w:pStyle w:val="162"/>
        <w:rPr>
          <w:color w:val="auto"/>
          <w:highlight w:val="none"/>
        </w:rPr>
      </w:pPr>
      <w:r>
        <w:rPr>
          <w:rFonts w:hint="eastAsia"/>
          <w:color w:val="auto"/>
          <w:highlight w:val="none"/>
        </w:rPr>
        <w:t>园</w:t>
      </w:r>
      <w:r>
        <w:rPr>
          <w:color w:val="auto"/>
          <w:highlight w:val="none"/>
        </w:rPr>
        <w:t>地</w:t>
      </w:r>
      <w:r>
        <w:rPr>
          <w:rFonts w:hint="eastAsia"/>
          <w:color w:val="auto"/>
          <w:highlight w:val="none"/>
        </w:rPr>
        <w:t>宜选择</w:t>
      </w:r>
      <w:r>
        <w:rPr>
          <w:rFonts w:hint="eastAsia" w:hAnsi="宋体" w:cs="黑体"/>
          <w:color w:val="auto"/>
          <w:szCs w:val="21"/>
          <w:highlight w:val="none"/>
        </w:rPr>
        <w:t>光照</w:t>
      </w:r>
      <w:r>
        <w:rPr>
          <w:rFonts w:hint="eastAsia" w:hAnsi="宋体" w:cs="黑体"/>
          <w:color w:val="auto"/>
          <w:szCs w:val="21"/>
          <w:highlight w:val="none"/>
          <w:lang w:val="en-US" w:eastAsia="zh-CN"/>
        </w:rPr>
        <w:t>良好</w:t>
      </w:r>
      <w:r>
        <w:rPr>
          <w:rFonts w:hint="eastAsia" w:hAnsi="宋体" w:cs="黑体"/>
          <w:color w:val="auto"/>
          <w:szCs w:val="21"/>
          <w:highlight w:val="none"/>
        </w:rPr>
        <w:t>、</w:t>
      </w:r>
      <w:r>
        <w:rPr>
          <w:rFonts w:hint="eastAsia" w:hAnsi="宋体" w:cs="黑体"/>
          <w:color w:val="auto"/>
          <w:szCs w:val="21"/>
          <w:highlight w:val="none"/>
          <w:lang w:val="en-US" w:eastAsia="zh-CN"/>
        </w:rPr>
        <w:t>降雨量≥1 000 mm</w:t>
      </w:r>
      <w:r>
        <w:rPr>
          <w:rFonts w:hint="eastAsia" w:hAnsi="宋体" w:cs="黑体"/>
          <w:color w:val="auto"/>
          <w:szCs w:val="21"/>
          <w:highlight w:val="none"/>
        </w:rPr>
        <w:t>、交通相对便利、土层深厚</w:t>
      </w:r>
      <w:r>
        <w:rPr>
          <w:rFonts w:hint="eastAsia" w:hAnsi="宋体" w:cs="黑体"/>
          <w:color w:val="auto"/>
          <w:szCs w:val="21"/>
          <w:highlight w:val="none"/>
          <w:lang w:val="en-US" w:eastAsia="zh-CN"/>
        </w:rPr>
        <w:t xml:space="preserve">≥50 </w:t>
      </w:r>
      <w:r>
        <w:rPr>
          <w:rFonts w:hint="eastAsia" w:hAnsi="宋体" w:cs="黑体"/>
          <w:color w:val="auto"/>
          <w:szCs w:val="21"/>
          <w:highlight w:val="none"/>
        </w:rPr>
        <w:t>cm、坡度≤30</w:t>
      </w:r>
      <w:r>
        <w:rPr>
          <w:rFonts w:hint="eastAsia" w:ascii="微软雅黑" w:hAnsi="微软雅黑" w:eastAsia="微软雅黑" w:cs="微软雅黑"/>
          <w:color w:val="auto"/>
          <w:szCs w:val="21"/>
          <w:highlight w:val="none"/>
        </w:rPr>
        <w:t>°</w:t>
      </w:r>
      <w:r>
        <w:rPr>
          <w:rFonts w:hint="eastAsia" w:hAnsi="宋体" w:cs="黑体"/>
          <w:color w:val="auto"/>
          <w:szCs w:val="21"/>
          <w:highlight w:val="none"/>
        </w:rPr>
        <w:t>的</w:t>
      </w:r>
      <w:r>
        <w:rPr>
          <w:rFonts w:hint="eastAsia" w:hAnsi="宋体" w:cs="黑体"/>
          <w:color w:val="auto"/>
          <w:szCs w:val="21"/>
          <w:highlight w:val="none"/>
          <w:lang w:val="en-US" w:eastAsia="zh-CN"/>
        </w:rPr>
        <w:t>丘陵</w:t>
      </w:r>
      <w:r>
        <w:rPr>
          <w:rFonts w:hint="eastAsia" w:hAnsi="宋体" w:cs="黑体"/>
          <w:color w:val="auto"/>
          <w:szCs w:val="21"/>
          <w:highlight w:val="none"/>
        </w:rPr>
        <w:t>坡地</w:t>
      </w:r>
      <w:r>
        <w:rPr>
          <w:rFonts w:hint="eastAsia" w:hAnsi="宋体" w:cs="黑体"/>
          <w:color w:val="auto"/>
          <w:szCs w:val="21"/>
          <w:highlight w:val="none"/>
          <w:lang w:val="en-US" w:eastAsia="zh-CN"/>
        </w:rPr>
        <w:t>或</w:t>
      </w:r>
      <w:r>
        <w:rPr>
          <w:rFonts w:hint="eastAsia" w:hAnsi="宋体" w:cs="黑体"/>
          <w:color w:val="auto"/>
          <w:szCs w:val="21"/>
          <w:highlight w:val="none"/>
        </w:rPr>
        <w:t>平地</w:t>
      </w:r>
      <w:r>
        <w:rPr>
          <w:rFonts w:hint="eastAsia"/>
          <w:color w:val="auto"/>
          <w:highlight w:val="none"/>
        </w:rPr>
        <w:t>。</w:t>
      </w:r>
    </w:p>
    <w:p w14:paraId="60FA5D80">
      <w:pPr>
        <w:pStyle w:val="162"/>
        <w:rPr>
          <w:color w:val="auto"/>
          <w:highlight w:val="none"/>
        </w:rPr>
      </w:pPr>
      <w:r>
        <w:rPr>
          <w:rFonts w:hint="eastAsia"/>
          <w:color w:val="auto"/>
          <w:highlight w:val="none"/>
        </w:rPr>
        <w:t>园地土壤质量应符合GB 15618的规定。</w:t>
      </w:r>
    </w:p>
    <w:p w14:paraId="7A2FD9CF">
      <w:pPr>
        <w:pStyle w:val="162"/>
        <w:rPr>
          <w:color w:val="auto"/>
          <w:highlight w:val="none"/>
        </w:rPr>
      </w:pPr>
      <w:r>
        <w:rPr>
          <w:rFonts w:hint="eastAsia"/>
          <w:color w:val="auto"/>
          <w:highlight w:val="none"/>
        </w:rPr>
        <w:t>园</w:t>
      </w:r>
      <w:r>
        <w:rPr>
          <w:color w:val="auto"/>
          <w:highlight w:val="none"/>
        </w:rPr>
        <w:t>地</w:t>
      </w:r>
      <w:r>
        <w:rPr>
          <w:rFonts w:hint="eastAsia" w:hAnsi="宋体" w:cs="黑体"/>
          <w:color w:val="auto"/>
          <w:szCs w:val="21"/>
          <w:highlight w:val="none"/>
        </w:rPr>
        <w:t>灌溉水质量应符合GB 5084的规定。</w:t>
      </w:r>
    </w:p>
    <w:p w14:paraId="6FA696F6">
      <w:pPr>
        <w:pStyle w:val="162"/>
        <w:rPr>
          <w:color w:val="auto"/>
          <w:highlight w:val="none"/>
        </w:rPr>
      </w:pPr>
      <w:r>
        <w:rPr>
          <w:rFonts w:hint="eastAsia"/>
          <w:color w:val="auto"/>
          <w:highlight w:val="none"/>
        </w:rPr>
        <w:t>园</w:t>
      </w:r>
      <w:r>
        <w:rPr>
          <w:color w:val="auto"/>
          <w:highlight w:val="none"/>
        </w:rPr>
        <w:t>地</w:t>
      </w:r>
      <w:r>
        <w:rPr>
          <w:rFonts w:hint="eastAsia" w:hAnsi="宋体" w:cs="黑体"/>
          <w:color w:val="auto"/>
          <w:szCs w:val="21"/>
          <w:highlight w:val="none"/>
        </w:rPr>
        <w:t>环境空气质量应符合GB 3095的规定。</w:t>
      </w:r>
    </w:p>
    <w:p w14:paraId="07BB2332">
      <w:pPr>
        <w:pStyle w:val="162"/>
        <w:rPr>
          <w:color w:val="auto"/>
          <w:highlight w:val="none"/>
        </w:rPr>
      </w:pPr>
    </w:p>
    <w:p w14:paraId="1E9450C8">
      <w:pPr>
        <w:pStyle w:val="104"/>
        <w:spacing w:before="312" w:after="312"/>
        <w:ind w:left="218" w:leftChars="104" w:firstLine="0" w:firstLineChars="0"/>
        <w:rPr>
          <w:rFonts w:hint="eastAsia"/>
          <w:color w:val="auto"/>
          <w:highlight w:val="none"/>
        </w:rPr>
      </w:pPr>
      <w:r>
        <w:rPr>
          <w:rFonts w:hint="eastAsia"/>
          <w:color w:val="auto"/>
          <w:highlight w:val="none"/>
          <w:lang w:val="en-US" w:eastAsia="zh-CN"/>
        </w:rPr>
        <w:t>种苗</w:t>
      </w:r>
      <w:r>
        <w:rPr>
          <w:rFonts w:hint="eastAsia"/>
          <w:color w:val="auto"/>
          <w:highlight w:val="none"/>
        </w:rPr>
        <w:t>选择</w:t>
      </w:r>
    </w:p>
    <w:p w14:paraId="6C72C6E6">
      <w:pPr>
        <w:pStyle w:val="105"/>
        <w:spacing w:before="156" w:after="156"/>
        <w:ind w:left="218" w:leftChars="104" w:firstLine="0" w:firstLineChars="0"/>
        <w:rPr>
          <w:rFonts w:hint="eastAsia"/>
          <w:color w:val="auto"/>
          <w:highlight w:val="none"/>
        </w:rPr>
      </w:pPr>
      <w:r>
        <w:rPr>
          <w:rFonts w:hint="eastAsia"/>
          <w:color w:val="auto"/>
          <w:highlight w:val="none"/>
        </w:rPr>
        <w:t>茶</w:t>
      </w:r>
      <w:r>
        <w:rPr>
          <w:rFonts w:hint="eastAsia"/>
          <w:color w:val="auto"/>
          <w:highlight w:val="none"/>
          <w:lang w:val="en-US" w:eastAsia="zh-CN"/>
        </w:rPr>
        <w:t>树种苗</w:t>
      </w:r>
      <w:r>
        <w:rPr>
          <w:rFonts w:hint="eastAsia"/>
          <w:color w:val="auto"/>
          <w:highlight w:val="none"/>
        </w:rPr>
        <w:t>要求</w:t>
      </w:r>
    </w:p>
    <w:p w14:paraId="0A817E27">
      <w:pPr>
        <w:pStyle w:val="165"/>
        <w:numPr>
          <w:ilvl w:val="0"/>
          <w:numId w:val="0"/>
        </w:numPr>
        <w:ind w:firstLine="420" w:firstLineChars="200"/>
        <w:rPr>
          <w:rFonts w:hint="eastAsia"/>
          <w:color w:val="auto"/>
          <w:highlight w:val="none"/>
        </w:rPr>
      </w:pPr>
      <w:r>
        <w:rPr>
          <w:rFonts w:hint="eastAsia"/>
          <w:color w:val="auto"/>
          <w:highlight w:val="none"/>
        </w:rPr>
        <w:t>宜选择优质早生、抗寒性和抗旱性强的茶</w:t>
      </w:r>
      <w:r>
        <w:rPr>
          <w:rFonts w:hint="eastAsia"/>
          <w:color w:val="auto"/>
          <w:highlight w:val="none"/>
          <w:lang w:val="en-US" w:eastAsia="zh-CN"/>
        </w:rPr>
        <w:t>树</w:t>
      </w:r>
      <w:r>
        <w:rPr>
          <w:rFonts w:hint="eastAsia"/>
          <w:color w:val="auto"/>
          <w:highlight w:val="none"/>
        </w:rPr>
        <w:t>品种，</w:t>
      </w:r>
      <w:r>
        <w:rPr>
          <w:rFonts w:hint="eastAsia"/>
          <w:color w:val="auto"/>
          <w:highlight w:val="none"/>
          <w:lang w:eastAsia="zh-CN"/>
        </w:rPr>
        <w:t>种苗</w:t>
      </w:r>
      <w:r>
        <w:rPr>
          <w:rFonts w:hint="eastAsia"/>
          <w:color w:val="auto"/>
          <w:highlight w:val="none"/>
        </w:rPr>
        <w:t>质量指标应符合GB 11767的规定。</w:t>
      </w:r>
    </w:p>
    <w:p w14:paraId="72038546">
      <w:pPr>
        <w:pStyle w:val="105"/>
        <w:spacing w:before="156" w:after="156"/>
        <w:ind w:left="218" w:leftChars="104" w:firstLine="0" w:firstLineChars="0"/>
        <w:rPr>
          <w:rFonts w:hint="eastAsia"/>
          <w:color w:val="auto"/>
          <w:highlight w:val="none"/>
        </w:rPr>
      </w:pPr>
      <w:r>
        <w:rPr>
          <w:rFonts w:hint="eastAsia"/>
          <w:color w:val="auto"/>
          <w:highlight w:val="none"/>
        </w:rPr>
        <w:t>葡萄</w:t>
      </w:r>
      <w:r>
        <w:rPr>
          <w:rFonts w:hint="eastAsia"/>
          <w:color w:val="auto"/>
          <w:highlight w:val="none"/>
          <w:lang w:val="en-US" w:eastAsia="zh-CN"/>
        </w:rPr>
        <w:t>种苗</w:t>
      </w:r>
      <w:r>
        <w:rPr>
          <w:rFonts w:hint="eastAsia"/>
          <w:color w:val="auto"/>
          <w:highlight w:val="none"/>
        </w:rPr>
        <w:t>要求</w:t>
      </w:r>
    </w:p>
    <w:p w14:paraId="0C8D8B98">
      <w:pPr>
        <w:pStyle w:val="165"/>
        <w:numPr>
          <w:ilvl w:val="0"/>
          <w:numId w:val="0"/>
        </w:numPr>
        <w:ind w:firstLine="420" w:firstLineChars="200"/>
        <w:rPr>
          <w:rFonts w:hint="eastAsia"/>
          <w:color w:val="auto"/>
          <w:highlight w:val="none"/>
        </w:rPr>
      </w:pPr>
      <w:r>
        <w:rPr>
          <w:rFonts w:hint="eastAsia"/>
          <w:color w:val="auto"/>
          <w:highlight w:val="none"/>
        </w:rPr>
        <w:t>宜选择适合柳州山区种植</w:t>
      </w:r>
      <w:r>
        <w:rPr>
          <w:rFonts w:hint="eastAsia"/>
          <w:color w:val="auto"/>
          <w:highlight w:val="none"/>
          <w:lang w:eastAsia="zh-CN"/>
        </w:rPr>
        <w:t>、</w:t>
      </w:r>
      <w:r>
        <w:rPr>
          <w:rFonts w:hint="eastAsia"/>
          <w:color w:val="auto"/>
          <w:highlight w:val="none"/>
        </w:rPr>
        <w:t>坐果率高、抗病虫害能力强</w:t>
      </w:r>
      <w:r>
        <w:rPr>
          <w:rFonts w:hint="eastAsia"/>
          <w:color w:val="auto"/>
          <w:highlight w:val="none"/>
          <w:lang w:eastAsia="zh-CN"/>
        </w:rPr>
        <w:t>、</w:t>
      </w:r>
      <w:r>
        <w:rPr>
          <w:rFonts w:hint="eastAsia"/>
          <w:color w:val="auto"/>
          <w:highlight w:val="none"/>
          <w:lang w:val="en-US" w:eastAsia="zh-CN"/>
        </w:rPr>
        <w:t>无需进行避雨栽培</w:t>
      </w:r>
      <w:r>
        <w:rPr>
          <w:rFonts w:hint="eastAsia"/>
          <w:color w:val="auto"/>
          <w:highlight w:val="none"/>
        </w:rPr>
        <w:t>的刺葡萄</w:t>
      </w:r>
      <w:r>
        <w:rPr>
          <w:rFonts w:hint="eastAsia"/>
          <w:color w:val="auto"/>
          <w:highlight w:val="none"/>
          <w:lang w:eastAsia="zh-CN"/>
        </w:rPr>
        <w:t>、</w:t>
      </w:r>
      <w:r>
        <w:rPr>
          <w:rFonts w:hint="eastAsia"/>
          <w:color w:val="auto"/>
          <w:highlight w:val="none"/>
          <w:lang w:val="en-US" w:eastAsia="zh-CN"/>
        </w:rPr>
        <w:t>毛葡萄</w:t>
      </w:r>
      <w:r>
        <w:rPr>
          <w:rFonts w:hint="eastAsia"/>
          <w:color w:val="auto"/>
          <w:highlight w:val="none"/>
        </w:rPr>
        <w:t>等葡萄品种，选用一、二级苗木，</w:t>
      </w:r>
      <w:r>
        <w:rPr>
          <w:rFonts w:hint="eastAsia"/>
          <w:color w:val="auto"/>
          <w:highlight w:val="none"/>
          <w:lang w:eastAsia="zh-CN"/>
        </w:rPr>
        <w:t>种苗</w:t>
      </w:r>
      <w:r>
        <w:rPr>
          <w:rFonts w:hint="eastAsia"/>
          <w:color w:val="auto"/>
          <w:highlight w:val="none"/>
        </w:rPr>
        <w:t>质量指标应符合N</w:t>
      </w:r>
      <w:r>
        <w:rPr>
          <w:rFonts w:hint="eastAsia"/>
          <w:color w:val="auto"/>
          <w:highlight w:val="none"/>
          <w:lang w:val="en-US" w:eastAsia="zh-CN"/>
        </w:rPr>
        <w:t>Y</w:t>
      </w:r>
      <w:r>
        <w:rPr>
          <w:rFonts w:hint="eastAsia"/>
          <w:color w:val="auto"/>
          <w:highlight w:val="none"/>
        </w:rPr>
        <w:t xml:space="preserve"> 469的规定。</w:t>
      </w:r>
    </w:p>
    <w:p w14:paraId="2C3547AA">
      <w:pPr>
        <w:pStyle w:val="104"/>
        <w:spacing w:before="312" w:after="312"/>
        <w:ind w:left="218" w:leftChars="104" w:firstLine="0" w:firstLineChars="0"/>
        <w:rPr>
          <w:rFonts w:hint="eastAsia"/>
          <w:color w:val="auto"/>
          <w:highlight w:val="none"/>
          <w:lang w:val="en-US" w:eastAsia="zh-CN"/>
        </w:rPr>
      </w:pPr>
      <w:r>
        <w:rPr>
          <w:rFonts w:hint="eastAsia"/>
          <w:color w:val="auto"/>
          <w:highlight w:val="none"/>
          <w:lang w:val="en-US" w:eastAsia="zh-CN"/>
        </w:rPr>
        <w:t>整地施肥</w:t>
      </w:r>
    </w:p>
    <w:p w14:paraId="4E57A96D">
      <w:pPr>
        <w:pStyle w:val="105"/>
        <w:spacing w:before="156" w:after="156"/>
        <w:ind w:left="218" w:leftChars="104" w:firstLine="0" w:firstLineChars="0"/>
        <w:rPr>
          <w:rFonts w:hint="eastAsia"/>
          <w:color w:val="auto"/>
          <w:highlight w:val="none"/>
        </w:rPr>
      </w:pPr>
      <w:r>
        <w:rPr>
          <w:rFonts w:hint="eastAsia"/>
          <w:color w:val="auto"/>
          <w:highlight w:val="none"/>
        </w:rPr>
        <w:t>施肥作畦</w:t>
      </w:r>
    </w:p>
    <w:p w14:paraId="4AEFE458">
      <w:pPr>
        <w:pStyle w:val="165"/>
        <w:ind w:left="418" w:leftChars="96" w:hanging="216" w:hangingChars="103"/>
        <w:rPr>
          <w:rFonts w:hint="eastAsia"/>
          <w:color w:val="auto"/>
          <w:highlight w:val="none"/>
          <w:lang w:val="en-US" w:eastAsia="zh-CN"/>
        </w:rPr>
      </w:pPr>
      <w:r>
        <w:rPr>
          <w:rFonts w:hint="eastAsia"/>
          <w:color w:val="auto"/>
          <w:highlight w:val="none"/>
          <w:lang w:val="en-US" w:eastAsia="zh-CN"/>
        </w:rPr>
        <w:t>茶叶定植前将土地深翻、耙碎、整平，并整成120cm～150cm宽的畦。</w:t>
      </w:r>
    </w:p>
    <w:p w14:paraId="6BB953A7">
      <w:pPr>
        <w:pStyle w:val="165"/>
        <w:ind w:left="218" w:leftChars="104" w:firstLine="0" w:firstLineChars="0"/>
        <w:rPr>
          <w:rFonts w:hint="eastAsia"/>
          <w:color w:val="auto"/>
          <w:highlight w:val="none"/>
          <w:lang w:val="en-US" w:eastAsia="zh-CN"/>
        </w:rPr>
      </w:pPr>
      <w:r>
        <w:rPr>
          <w:rFonts w:hint="eastAsia"/>
          <w:color w:val="auto"/>
          <w:highlight w:val="none"/>
          <w:lang w:val="en-US" w:eastAsia="zh-CN"/>
        </w:rPr>
        <w:t>在畦的中间挖深、宽各40cm～50cm的茶苗定植沟，每667m2施入腐熟有机肥1500kg～2000kg，磷钾肥30kg～50kg，肥土混匀回填后表层加盖一层新土，预留10cm凹槽。</w:t>
      </w:r>
    </w:p>
    <w:p w14:paraId="2EAA5E72">
      <w:pPr>
        <w:pStyle w:val="105"/>
        <w:spacing w:before="156" w:after="156"/>
        <w:ind w:left="218" w:leftChars="104" w:firstLine="0" w:firstLineChars="0"/>
        <w:rPr>
          <w:rFonts w:hint="eastAsia"/>
          <w:color w:val="auto"/>
          <w:highlight w:val="none"/>
        </w:rPr>
      </w:pPr>
      <w:r>
        <w:rPr>
          <w:rFonts w:hint="eastAsia"/>
          <w:color w:val="auto"/>
          <w:highlight w:val="none"/>
        </w:rPr>
        <w:t>回坑基肥</w:t>
      </w:r>
    </w:p>
    <w:p w14:paraId="31AA76EC">
      <w:pPr>
        <w:pStyle w:val="56"/>
        <w:ind w:firstLine="420"/>
        <w:rPr>
          <w:rFonts w:hint="eastAsia" w:hAnsi="宋体" w:cs="黑体"/>
          <w:color w:val="auto"/>
          <w:szCs w:val="21"/>
          <w:highlight w:val="none"/>
        </w:rPr>
      </w:pPr>
      <w:r>
        <w:rPr>
          <w:rFonts w:hint="eastAsia"/>
          <w:color w:val="auto"/>
          <w:highlight w:val="none"/>
          <w:lang w:eastAsia="zh-CN"/>
        </w:rPr>
        <w:t>按</w:t>
      </w:r>
      <w:r>
        <w:rPr>
          <w:rFonts w:hint="eastAsia"/>
          <w:color w:val="auto"/>
          <w:highlight w:val="none"/>
        </w:rPr>
        <w:t>株距6</w:t>
      </w:r>
      <w:r>
        <w:rPr>
          <w:rFonts w:hint="eastAsia"/>
          <w:color w:val="auto"/>
          <w:highlight w:val="none"/>
          <w:lang w:val="en-US" w:eastAsia="zh-CN"/>
        </w:rPr>
        <w:t xml:space="preserve"> </w:t>
      </w:r>
      <w:r>
        <w:rPr>
          <w:color w:val="auto"/>
          <w:highlight w:val="none"/>
        </w:rPr>
        <w:t>m</w:t>
      </w:r>
      <w:r>
        <w:rPr>
          <w:rFonts w:hint="eastAsia"/>
          <w:color w:val="auto"/>
          <w:highlight w:val="none"/>
        </w:rPr>
        <w:t>～8</w:t>
      </w:r>
      <w:r>
        <w:rPr>
          <w:rFonts w:hint="eastAsia"/>
          <w:color w:val="auto"/>
          <w:highlight w:val="none"/>
          <w:lang w:val="en-US" w:eastAsia="zh-CN"/>
        </w:rPr>
        <w:t xml:space="preserve"> </w:t>
      </w:r>
      <w:r>
        <w:rPr>
          <w:rFonts w:hint="eastAsia"/>
          <w:color w:val="auto"/>
          <w:highlight w:val="none"/>
        </w:rPr>
        <w:t>m，行距8</w:t>
      </w:r>
      <w:r>
        <w:rPr>
          <w:rFonts w:hint="eastAsia"/>
          <w:color w:val="auto"/>
          <w:highlight w:val="none"/>
          <w:lang w:val="en-US" w:eastAsia="zh-CN"/>
        </w:rPr>
        <w:t xml:space="preserve"> </w:t>
      </w:r>
      <w:r>
        <w:rPr>
          <w:color w:val="auto"/>
          <w:highlight w:val="none"/>
        </w:rPr>
        <w:t>m</w:t>
      </w:r>
      <w:r>
        <w:rPr>
          <w:rFonts w:hint="eastAsia"/>
          <w:color w:val="auto"/>
          <w:highlight w:val="none"/>
        </w:rPr>
        <w:t>～1</w:t>
      </w:r>
      <w:r>
        <w:rPr>
          <w:rFonts w:hint="eastAsia"/>
          <w:color w:val="auto"/>
          <w:highlight w:val="none"/>
          <w:lang w:val="en-US" w:eastAsia="zh-CN"/>
        </w:rPr>
        <w:t xml:space="preserve">0 </w:t>
      </w:r>
      <w:r>
        <w:rPr>
          <w:rFonts w:hint="eastAsia"/>
          <w:color w:val="auto"/>
          <w:highlight w:val="none"/>
        </w:rPr>
        <w:t>m在畦的既定位置上挖</w:t>
      </w:r>
      <w:r>
        <w:rPr>
          <w:rFonts w:hint="eastAsia"/>
          <w:color w:val="auto"/>
          <w:highlight w:val="none"/>
          <w:lang w:eastAsia="zh-CN"/>
        </w:rPr>
        <w:t>长、宽</w:t>
      </w:r>
      <w:r>
        <w:rPr>
          <w:rFonts w:hint="eastAsia"/>
          <w:color w:val="auto"/>
          <w:highlight w:val="none"/>
          <w:lang w:val="en-US" w:eastAsia="zh-CN"/>
        </w:rPr>
        <w:t>各80 c</w:t>
      </w:r>
      <w:r>
        <w:rPr>
          <w:color w:val="auto"/>
          <w:highlight w:val="none"/>
        </w:rPr>
        <w:t>m</w:t>
      </w:r>
      <w:r>
        <w:rPr>
          <w:rFonts w:hint="eastAsia"/>
          <w:color w:val="auto"/>
          <w:highlight w:val="none"/>
        </w:rPr>
        <w:t>～</w:t>
      </w:r>
      <w:r>
        <w:rPr>
          <w:rFonts w:hint="eastAsia"/>
          <w:color w:val="auto"/>
          <w:highlight w:val="none"/>
          <w:lang w:val="en-US" w:eastAsia="zh-CN"/>
        </w:rPr>
        <w:t>100 c</w:t>
      </w:r>
      <w:r>
        <w:rPr>
          <w:color w:val="auto"/>
          <w:highlight w:val="none"/>
        </w:rPr>
        <w:t>m</w:t>
      </w:r>
      <w:r>
        <w:rPr>
          <w:rFonts w:hint="eastAsia"/>
          <w:color w:val="auto"/>
          <w:highlight w:val="none"/>
          <w:lang w:eastAsia="zh-CN"/>
        </w:rPr>
        <w:t>，</w:t>
      </w:r>
      <w:r>
        <w:rPr>
          <w:rFonts w:hint="eastAsia"/>
          <w:color w:val="auto"/>
          <w:highlight w:val="none"/>
        </w:rPr>
        <w:t>深</w:t>
      </w:r>
      <w:r>
        <w:rPr>
          <w:rFonts w:hint="eastAsia"/>
          <w:color w:val="auto"/>
          <w:highlight w:val="none"/>
          <w:lang w:val="en-US" w:eastAsia="zh-CN"/>
        </w:rPr>
        <w:t>30 c</w:t>
      </w:r>
      <w:r>
        <w:rPr>
          <w:color w:val="auto"/>
          <w:highlight w:val="none"/>
        </w:rPr>
        <w:t>m</w:t>
      </w:r>
      <w:r>
        <w:rPr>
          <w:rFonts w:hint="eastAsia"/>
          <w:color w:val="auto"/>
          <w:highlight w:val="none"/>
        </w:rPr>
        <w:t>～</w:t>
      </w:r>
      <w:r>
        <w:rPr>
          <w:rFonts w:hint="eastAsia"/>
          <w:color w:val="auto"/>
          <w:highlight w:val="none"/>
          <w:lang w:val="en-US" w:eastAsia="zh-CN"/>
        </w:rPr>
        <w:t>40 c</w:t>
      </w:r>
      <w:r>
        <w:rPr>
          <w:rFonts w:hint="eastAsia"/>
          <w:color w:val="auto"/>
          <w:highlight w:val="none"/>
        </w:rPr>
        <w:t>m</w:t>
      </w:r>
      <w:r>
        <w:rPr>
          <w:rFonts w:hint="eastAsia"/>
          <w:color w:val="auto"/>
          <w:spacing w:val="0"/>
          <w:w w:val="15"/>
          <w:kern w:val="0"/>
          <w:highlight w:val="none"/>
          <w:fitText w:val="63" w:id="151330021"/>
        </w:rPr>
        <w:t xml:space="preserve">　 </w:t>
      </w:r>
      <w:r>
        <w:rPr>
          <w:rFonts w:hint="eastAsia"/>
          <w:color w:val="auto"/>
          <w:spacing w:val="-7"/>
          <w:w w:val="15"/>
          <w:kern w:val="0"/>
          <w:highlight w:val="none"/>
          <w:fitText w:val="63" w:id="151330021"/>
        </w:rPr>
        <w:t>　</w:t>
      </w:r>
      <w:r>
        <w:rPr>
          <w:rFonts w:hint="eastAsia"/>
          <w:color w:val="auto"/>
          <w:highlight w:val="none"/>
        </w:rPr>
        <w:t>的葡萄定植坑，每坑施</w:t>
      </w:r>
      <w:r>
        <w:rPr>
          <w:rFonts w:hint="eastAsia"/>
          <w:color w:val="auto"/>
          <w:highlight w:val="none"/>
          <w:lang w:val="en-US" w:eastAsia="zh-CN"/>
        </w:rPr>
        <w:t>入</w:t>
      </w:r>
      <w:r>
        <w:rPr>
          <w:rFonts w:hint="eastAsia"/>
          <w:color w:val="auto"/>
          <w:highlight w:val="none"/>
          <w:lang w:eastAsia="zh-CN"/>
        </w:rPr>
        <w:t>腐熟</w:t>
      </w:r>
      <w:r>
        <w:rPr>
          <w:rFonts w:hint="eastAsia"/>
          <w:color w:val="auto"/>
          <w:highlight w:val="none"/>
        </w:rPr>
        <w:t>有机肥</w:t>
      </w:r>
      <w:r>
        <w:rPr>
          <w:rFonts w:hint="eastAsia"/>
          <w:color w:val="auto"/>
          <w:highlight w:val="none"/>
          <w:lang w:val="en-US" w:eastAsia="zh-CN"/>
        </w:rPr>
        <w:t xml:space="preserve">10 </w:t>
      </w:r>
      <w:r>
        <w:rPr>
          <w:color w:val="auto"/>
          <w:highlight w:val="none"/>
        </w:rPr>
        <w:t>kg</w:t>
      </w:r>
      <w:r>
        <w:rPr>
          <w:rFonts w:hint="eastAsia"/>
          <w:color w:val="auto"/>
          <w:highlight w:val="none"/>
        </w:rPr>
        <w:t>～</w:t>
      </w:r>
      <w:r>
        <w:rPr>
          <w:rFonts w:hint="eastAsia"/>
          <w:color w:val="auto"/>
          <w:highlight w:val="none"/>
          <w:lang w:val="en-US" w:eastAsia="zh-CN"/>
        </w:rPr>
        <w:t xml:space="preserve">15 </w:t>
      </w:r>
      <w:r>
        <w:rPr>
          <w:rFonts w:hint="eastAsia"/>
          <w:color w:val="auto"/>
          <w:highlight w:val="none"/>
        </w:rPr>
        <w:t>kg</w:t>
      </w:r>
      <w:r>
        <w:rPr>
          <w:rFonts w:hint="eastAsia"/>
          <w:color w:val="auto"/>
          <w:highlight w:val="none"/>
          <w:lang w:eastAsia="zh-CN"/>
        </w:rPr>
        <w:t>，</w:t>
      </w:r>
      <w:r>
        <w:rPr>
          <w:rFonts w:hint="eastAsia"/>
          <w:color w:val="auto"/>
          <w:highlight w:val="none"/>
          <w:lang w:val="en-US" w:eastAsia="zh-CN"/>
        </w:rPr>
        <w:t>钙镁磷</w:t>
      </w:r>
      <w:r>
        <w:rPr>
          <w:rFonts w:hint="eastAsia"/>
          <w:color w:val="auto"/>
          <w:highlight w:val="none"/>
        </w:rPr>
        <w:t>肥</w:t>
      </w:r>
      <w:r>
        <w:rPr>
          <w:rFonts w:hint="eastAsia"/>
          <w:color w:val="auto"/>
          <w:highlight w:val="none"/>
          <w:lang w:val="en-US" w:eastAsia="zh-CN"/>
        </w:rPr>
        <w:t xml:space="preserve">0.5 </w:t>
      </w:r>
      <w:r>
        <w:rPr>
          <w:color w:val="auto"/>
          <w:highlight w:val="none"/>
        </w:rPr>
        <w:t>kg</w:t>
      </w:r>
      <w:r>
        <w:rPr>
          <w:rFonts w:hint="eastAsia"/>
          <w:color w:val="auto"/>
          <w:highlight w:val="none"/>
        </w:rPr>
        <w:t>～1.</w:t>
      </w:r>
      <w:r>
        <w:rPr>
          <w:rFonts w:hint="eastAsia"/>
          <w:color w:val="auto"/>
          <w:highlight w:val="none"/>
          <w:lang w:val="en-US" w:eastAsia="zh-CN"/>
        </w:rPr>
        <w:t>0</w:t>
      </w:r>
      <w:r>
        <w:rPr>
          <w:rFonts w:hint="eastAsia"/>
          <w:color w:val="auto"/>
          <w:spacing w:val="0"/>
          <w:w w:val="15"/>
          <w:kern w:val="0"/>
          <w:highlight w:val="none"/>
          <w:fitText w:val="63" w:id="1669136471"/>
        </w:rPr>
        <w:t xml:space="preserve">　 </w:t>
      </w:r>
      <w:r>
        <w:rPr>
          <w:rFonts w:hint="eastAsia"/>
          <w:color w:val="auto"/>
          <w:spacing w:val="-7"/>
          <w:w w:val="15"/>
          <w:kern w:val="0"/>
          <w:highlight w:val="none"/>
          <w:fitText w:val="63" w:id="1669136471"/>
        </w:rPr>
        <w:t>　</w:t>
      </w:r>
      <w:r>
        <w:rPr>
          <w:rFonts w:hint="eastAsia"/>
          <w:color w:val="auto"/>
          <w:highlight w:val="none"/>
        </w:rPr>
        <w:t>kg</w:t>
      </w:r>
      <w:r>
        <w:rPr>
          <w:rFonts w:hint="eastAsia"/>
          <w:color w:val="auto"/>
          <w:highlight w:val="none"/>
          <w:lang w:eastAsia="zh-CN"/>
        </w:rPr>
        <w:t>，肥土混匀后回填</w:t>
      </w:r>
      <w:r>
        <w:rPr>
          <w:rFonts w:hint="eastAsia"/>
          <w:color w:val="auto"/>
          <w:highlight w:val="none"/>
        </w:rPr>
        <w:t>。</w:t>
      </w:r>
    </w:p>
    <w:p w14:paraId="7B9465DA">
      <w:pPr>
        <w:pStyle w:val="104"/>
        <w:spacing w:before="312" w:after="312"/>
        <w:ind w:left="218" w:leftChars="104" w:firstLine="0" w:firstLineChars="0"/>
        <w:rPr>
          <w:rFonts w:hint="eastAsia"/>
          <w:color w:val="auto"/>
          <w:highlight w:val="none"/>
          <w:lang w:val="en-US" w:eastAsia="zh-CN"/>
        </w:rPr>
      </w:pPr>
      <w:r>
        <w:rPr>
          <w:rFonts w:hint="eastAsia"/>
          <w:color w:val="auto"/>
          <w:highlight w:val="none"/>
          <w:lang w:val="en-US" w:eastAsia="zh-CN"/>
        </w:rPr>
        <w:t>定植</w:t>
      </w:r>
    </w:p>
    <w:p w14:paraId="12480321">
      <w:pPr>
        <w:pStyle w:val="105"/>
        <w:spacing w:before="156" w:after="156"/>
        <w:ind w:left="218" w:leftChars="104" w:firstLine="0" w:firstLineChars="0"/>
        <w:rPr>
          <w:rFonts w:hint="eastAsia"/>
          <w:color w:val="auto"/>
          <w:highlight w:val="none"/>
        </w:rPr>
      </w:pPr>
      <w:r>
        <w:rPr>
          <w:rFonts w:hint="eastAsia"/>
          <w:color w:val="auto"/>
          <w:highlight w:val="none"/>
        </w:rPr>
        <w:t>茶苗定植</w:t>
      </w:r>
    </w:p>
    <w:p w14:paraId="3209F577">
      <w:pPr>
        <w:pStyle w:val="56"/>
        <w:ind w:firstLine="420"/>
        <w:rPr>
          <w:color w:val="auto"/>
          <w:highlight w:val="none"/>
        </w:rPr>
      </w:pPr>
      <w:r>
        <w:rPr>
          <w:rFonts w:hint="eastAsia"/>
          <w:color w:val="auto"/>
          <w:highlight w:val="none"/>
        </w:rPr>
        <w:t>在覆土后的茶苗定植沟内重新开深、宽</w:t>
      </w:r>
      <w:r>
        <w:rPr>
          <w:rFonts w:hint="eastAsia"/>
          <w:color w:val="auto"/>
          <w:highlight w:val="none"/>
          <w:lang w:val="en-US" w:eastAsia="zh-CN"/>
        </w:rPr>
        <w:t>各10 c</w:t>
      </w:r>
      <w:r>
        <w:rPr>
          <w:color w:val="auto"/>
          <w:highlight w:val="none"/>
        </w:rPr>
        <w:t>m</w:t>
      </w:r>
      <w:r>
        <w:rPr>
          <w:rFonts w:hint="eastAsia"/>
          <w:color w:val="auto"/>
          <w:highlight w:val="none"/>
        </w:rPr>
        <w:t>～</w:t>
      </w:r>
      <w:r>
        <w:rPr>
          <w:rFonts w:hint="eastAsia"/>
          <w:color w:val="auto"/>
          <w:highlight w:val="none"/>
          <w:lang w:val="en-US" w:eastAsia="zh-CN"/>
        </w:rPr>
        <w:t>20 cm</w:t>
      </w:r>
      <w:r>
        <w:rPr>
          <w:rFonts w:hint="eastAsia"/>
          <w:color w:val="auto"/>
          <w:highlight w:val="none"/>
        </w:rPr>
        <w:t>的浅沟，按行距</w:t>
      </w:r>
      <w:r>
        <w:rPr>
          <w:rFonts w:hint="eastAsia"/>
          <w:color w:val="auto"/>
          <w:highlight w:val="none"/>
          <w:lang w:val="en-US" w:eastAsia="zh-CN"/>
        </w:rPr>
        <w:t>120 c</w:t>
      </w:r>
      <w:r>
        <w:rPr>
          <w:color w:val="auto"/>
          <w:highlight w:val="none"/>
        </w:rPr>
        <w:t>m</w:t>
      </w:r>
      <w:r>
        <w:rPr>
          <w:rFonts w:hint="eastAsia"/>
          <w:color w:val="auto"/>
          <w:highlight w:val="none"/>
        </w:rPr>
        <w:t>～1</w:t>
      </w:r>
      <w:r>
        <w:rPr>
          <w:rFonts w:hint="eastAsia"/>
          <w:color w:val="auto"/>
          <w:highlight w:val="none"/>
          <w:lang w:val="en-US" w:eastAsia="zh-CN"/>
        </w:rPr>
        <w:t>50</w:t>
      </w:r>
      <w:r>
        <w:rPr>
          <w:rFonts w:hint="eastAsia"/>
          <w:color w:val="auto"/>
          <w:spacing w:val="0"/>
          <w:w w:val="15"/>
          <w:kern w:val="0"/>
          <w:highlight w:val="none"/>
          <w:fitText w:val="63" w:id="911367369"/>
        </w:rPr>
        <w:t xml:space="preserve">　 </w:t>
      </w:r>
      <w:r>
        <w:rPr>
          <w:rFonts w:hint="eastAsia"/>
          <w:color w:val="auto"/>
          <w:spacing w:val="-7"/>
          <w:w w:val="15"/>
          <w:kern w:val="0"/>
          <w:highlight w:val="none"/>
          <w:fitText w:val="63" w:id="911367369"/>
        </w:rPr>
        <w:t>　</w:t>
      </w:r>
      <w:r>
        <w:rPr>
          <w:rFonts w:hint="eastAsia"/>
          <w:color w:val="auto"/>
          <w:kern w:val="0"/>
          <w:highlight w:val="none"/>
          <w:lang w:val="en-US" w:eastAsia="zh-CN"/>
        </w:rPr>
        <w:t>c</w:t>
      </w:r>
      <w:r>
        <w:rPr>
          <w:rFonts w:hint="eastAsia"/>
          <w:color w:val="auto"/>
          <w:highlight w:val="none"/>
        </w:rPr>
        <w:t>m，丛距30 cm～40 cm</w:t>
      </w:r>
      <w:r>
        <w:rPr>
          <w:rFonts w:hint="eastAsia"/>
          <w:color w:val="auto"/>
          <w:highlight w:val="none"/>
          <w:lang w:eastAsia="zh-CN"/>
        </w:rPr>
        <w:t>（</w:t>
      </w:r>
      <w:r>
        <w:rPr>
          <w:rFonts w:hint="eastAsia"/>
          <w:color w:val="auto"/>
          <w:highlight w:val="none"/>
          <w:lang w:val="en-US" w:eastAsia="zh-CN"/>
        </w:rPr>
        <w:t>葡萄树盘内不种植茶苗</w:t>
      </w:r>
      <w:r>
        <w:rPr>
          <w:rFonts w:hint="eastAsia"/>
          <w:color w:val="auto"/>
          <w:highlight w:val="none"/>
          <w:lang w:eastAsia="zh-CN"/>
        </w:rPr>
        <w:t>）</w:t>
      </w:r>
      <w:r>
        <w:rPr>
          <w:rFonts w:hint="eastAsia"/>
          <w:color w:val="auto"/>
          <w:highlight w:val="none"/>
        </w:rPr>
        <w:t>，每丛</w:t>
      </w:r>
      <w:r>
        <w:rPr>
          <w:rFonts w:hint="eastAsia"/>
          <w:color w:val="auto"/>
          <w:highlight w:val="none"/>
          <w:lang w:val="en-US" w:eastAsia="zh-CN"/>
        </w:rPr>
        <w:t>1</w:t>
      </w:r>
      <w:r>
        <w:rPr>
          <w:rFonts w:hint="eastAsia"/>
          <w:color w:val="auto"/>
          <w:highlight w:val="none"/>
        </w:rPr>
        <w:t>～</w:t>
      </w:r>
      <w:r>
        <w:rPr>
          <w:rFonts w:hint="eastAsia"/>
          <w:color w:val="auto"/>
          <w:highlight w:val="none"/>
          <w:lang w:val="en-US" w:eastAsia="zh-CN"/>
        </w:rPr>
        <w:t>2</w:t>
      </w:r>
      <w:r>
        <w:rPr>
          <w:rFonts w:hint="eastAsia"/>
          <w:color w:val="auto"/>
          <w:highlight w:val="none"/>
        </w:rPr>
        <w:t>株进行定植，</w:t>
      </w:r>
      <w:r>
        <w:rPr>
          <w:rFonts w:hint="eastAsia"/>
          <w:color w:val="auto"/>
          <w:highlight w:val="none"/>
          <w:lang w:val="en-US" w:eastAsia="zh-CN"/>
        </w:rPr>
        <w:t>丘陵坡地</w:t>
      </w:r>
      <w:r>
        <w:rPr>
          <w:rFonts w:hint="eastAsia"/>
          <w:color w:val="auto"/>
          <w:highlight w:val="none"/>
        </w:rPr>
        <w:t>每</w:t>
      </w:r>
      <w:r>
        <w:rPr>
          <w:rFonts w:hint="eastAsia"/>
          <w:color w:val="auto"/>
          <w:highlight w:val="none"/>
          <w:lang w:eastAsia="zh-CN"/>
        </w:rPr>
        <w:t xml:space="preserve">667 </w:t>
      </w:r>
      <w:r>
        <w:rPr>
          <w:rFonts w:hint="eastAsia" w:ascii="宋体" w:hAnsi="宋体" w:eastAsia="宋体" w:cs="宋体"/>
          <w:color w:val="auto"/>
          <w:highlight w:val="none"/>
          <w:lang w:val="en-US" w:eastAsia="zh-CN"/>
        </w:rPr>
        <w:t>m</w:t>
      </w:r>
      <w:r>
        <w:rPr>
          <w:rFonts w:hint="eastAsia" w:ascii="宋体" w:hAnsi="宋体" w:eastAsia="宋体" w:cs="宋体"/>
          <w:color w:val="auto"/>
          <w:highlight w:val="none"/>
          <w:vertAlign w:val="superscript"/>
          <w:lang w:val="en-US" w:eastAsia="zh-CN"/>
        </w:rPr>
        <w:t>2</w:t>
      </w:r>
      <w:r>
        <w:rPr>
          <w:rFonts w:hint="eastAsia"/>
          <w:color w:val="auto"/>
          <w:highlight w:val="none"/>
        </w:rPr>
        <w:t>定植</w:t>
      </w:r>
      <w:r>
        <w:rPr>
          <w:rFonts w:hint="eastAsia"/>
          <w:color w:val="auto"/>
          <w:highlight w:val="none"/>
          <w:lang w:val="en-US" w:eastAsia="zh-CN"/>
        </w:rPr>
        <w:t xml:space="preserve">2 </w:t>
      </w:r>
      <w:r>
        <w:rPr>
          <w:rFonts w:hint="eastAsia"/>
          <w:color w:val="auto"/>
          <w:highlight w:val="none"/>
        </w:rPr>
        <w:t>500～</w:t>
      </w:r>
      <w:r>
        <w:rPr>
          <w:rFonts w:hint="eastAsia"/>
          <w:color w:val="auto"/>
          <w:highlight w:val="none"/>
          <w:lang w:val="en-US" w:eastAsia="zh-CN"/>
        </w:rPr>
        <w:t xml:space="preserve">3 </w:t>
      </w:r>
      <w:r>
        <w:rPr>
          <w:rFonts w:hint="eastAsia"/>
          <w:color w:val="auto"/>
          <w:highlight w:val="none"/>
        </w:rPr>
        <w:t>000株</w:t>
      </w:r>
      <w:r>
        <w:rPr>
          <w:rFonts w:hint="eastAsia"/>
          <w:color w:val="auto"/>
          <w:highlight w:val="none"/>
          <w:lang w:eastAsia="zh-CN"/>
        </w:rPr>
        <w:t>，</w:t>
      </w:r>
      <w:r>
        <w:rPr>
          <w:rFonts w:hint="eastAsia"/>
          <w:color w:val="auto"/>
          <w:highlight w:val="none"/>
          <w:lang w:val="en-US" w:eastAsia="zh-CN"/>
        </w:rPr>
        <w:t>平地</w:t>
      </w:r>
      <w:r>
        <w:rPr>
          <w:rFonts w:hint="eastAsia"/>
          <w:color w:val="auto"/>
          <w:highlight w:val="none"/>
        </w:rPr>
        <w:t>每</w:t>
      </w:r>
      <w:r>
        <w:rPr>
          <w:rFonts w:hint="eastAsia"/>
          <w:color w:val="auto"/>
          <w:highlight w:val="none"/>
          <w:lang w:eastAsia="zh-CN"/>
        </w:rPr>
        <w:t>667</w:t>
      </w:r>
      <w:r>
        <w:rPr>
          <w:rFonts w:hint="eastAsia"/>
          <w:color w:val="auto"/>
          <w:highlight w:val="none"/>
          <w:lang w:val="en-US" w:eastAsia="zh-CN"/>
        </w:rPr>
        <w:t xml:space="preserve"> m</w:t>
      </w:r>
      <w:r>
        <w:rPr>
          <w:rFonts w:hint="eastAsia"/>
          <w:color w:val="auto"/>
          <w:highlight w:val="none"/>
          <w:vertAlign w:val="superscript"/>
          <w:lang w:val="en-US" w:eastAsia="zh-CN"/>
        </w:rPr>
        <w:t>2</w:t>
      </w:r>
      <w:r>
        <w:rPr>
          <w:rFonts w:hint="eastAsia"/>
          <w:color w:val="auto"/>
          <w:highlight w:val="none"/>
        </w:rPr>
        <w:t>定植</w:t>
      </w:r>
      <w:r>
        <w:rPr>
          <w:rFonts w:hint="eastAsia"/>
          <w:color w:val="auto"/>
          <w:highlight w:val="none"/>
          <w:lang w:val="en-US" w:eastAsia="zh-CN"/>
        </w:rPr>
        <w:t xml:space="preserve">3 </w:t>
      </w:r>
      <w:r>
        <w:rPr>
          <w:rFonts w:hint="eastAsia"/>
          <w:color w:val="auto"/>
          <w:highlight w:val="none"/>
        </w:rPr>
        <w:t>500～</w:t>
      </w:r>
      <w:r>
        <w:rPr>
          <w:rFonts w:hint="eastAsia"/>
          <w:color w:val="auto"/>
          <w:highlight w:val="none"/>
          <w:lang w:val="en-US" w:eastAsia="zh-CN"/>
        </w:rPr>
        <w:t xml:space="preserve">4 </w:t>
      </w:r>
      <w:r>
        <w:rPr>
          <w:rFonts w:hint="eastAsia"/>
          <w:color w:val="auto"/>
          <w:highlight w:val="none"/>
        </w:rPr>
        <w:t>000株。定植时应</w:t>
      </w:r>
      <w:r>
        <w:rPr>
          <w:rFonts w:ascii="Arial" w:hAnsi="Arial" w:cs="Arial"/>
          <w:color w:val="auto"/>
          <w:szCs w:val="21"/>
          <w:highlight w:val="none"/>
          <w:shd w:val="clear" w:color="auto" w:fill="FFFFFF"/>
        </w:rPr>
        <w:t>理顺</w:t>
      </w:r>
      <w:r>
        <w:rPr>
          <w:rFonts w:hint="eastAsia" w:ascii="Arial" w:hAnsi="Arial" w:cs="Arial"/>
          <w:color w:val="auto"/>
          <w:szCs w:val="21"/>
          <w:highlight w:val="none"/>
          <w:shd w:val="clear" w:color="auto" w:fill="FFFFFF"/>
        </w:rPr>
        <w:t>苗木</w:t>
      </w:r>
      <w:r>
        <w:rPr>
          <w:rFonts w:ascii="Arial" w:hAnsi="Arial" w:cs="Arial"/>
          <w:color w:val="auto"/>
          <w:szCs w:val="21"/>
          <w:highlight w:val="none"/>
          <w:shd w:val="clear" w:color="auto" w:fill="FFFFFF"/>
        </w:rPr>
        <w:t>根系</w:t>
      </w:r>
      <w:r>
        <w:rPr>
          <w:rFonts w:hint="eastAsia"/>
          <w:color w:val="auto"/>
          <w:highlight w:val="none"/>
        </w:rPr>
        <w:t>，</w:t>
      </w:r>
      <w:r>
        <w:rPr>
          <w:rFonts w:ascii="Arial" w:hAnsi="Arial" w:cs="Arial"/>
          <w:color w:val="auto"/>
          <w:szCs w:val="21"/>
          <w:highlight w:val="none"/>
          <w:shd w:val="clear" w:color="auto" w:fill="FFFFFF"/>
        </w:rPr>
        <w:t>覆土至根颈处</w:t>
      </w:r>
      <w:r>
        <w:rPr>
          <w:rFonts w:hint="eastAsia" w:ascii="Arial" w:hAnsi="Arial" w:cs="Arial"/>
          <w:color w:val="auto"/>
          <w:szCs w:val="21"/>
          <w:highlight w:val="none"/>
          <w:shd w:val="clear" w:color="auto" w:fill="FFFFFF"/>
        </w:rPr>
        <w:t>时</w:t>
      </w:r>
      <w:r>
        <w:rPr>
          <w:rFonts w:ascii="Arial" w:hAnsi="Arial" w:cs="Arial"/>
          <w:color w:val="auto"/>
          <w:szCs w:val="21"/>
          <w:highlight w:val="none"/>
          <w:shd w:val="clear" w:color="auto" w:fill="FFFFFF"/>
        </w:rPr>
        <w:t>压实</w:t>
      </w:r>
      <w:r>
        <w:rPr>
          <w:rFonts w:hint="eastAsia" w:ascii="Arial" w:hAnsi="Arial" w:cs="Arial"/>
          <w:color w:val="auto"/>
          <w:szCs w:val="21"/>
          <w:highlight w:val="none"/>
          <w:shd w:val="clear" w:color="auto" w:fill="FFFFFF"/>
        </w:rPr>
        <w:t>土壤，</w:t>
      </w:r>
      <w:r>
        <w:rPr>
          <w:rFonts w:ascii="Arial" w:hAnsi="Arial" w:cs="Arial"/>
          <w:color w:val="auto"/>
          <w:szCs w:val="21"/>
          <w:highlight w:val="none"/>
          <w:shd w:val="clear" w:color="auto" w:fill="FFFFFF"/>
        </w:rPr>
        <w:t>淋定根水</w:t>
      </w:r>
      <w:r>
        <w:rPr>
          <w:rFonts w:hint="eastAsia" w:ascii="Arial" w:hAnsi="Arial" w:cs="Arial"/>
          <w:color w:val="auto"/>
          <w:szCs w:val="21"/>
          <w:highlight w:val="none"/>
          <w:shd w:val="clear" w:color="auto" w:fill="FFFFFF"/>
        </w:rPr>
        <w:t>后再</w:t>
      </w:r>
      <w:r>
        <w:rPr>
          <w:rFonts w:ascii="Arial" w:hAnsi="Arial" w:cs="Arial"/>
          <w:color w:val="auto"/>
          <w:szCs w:val="21"/>
          <w:highlight w:val="none"/>
          <w:shd w:val="clear" w:color="auto" w:fill="FFFFFF"/>
        </w:rPr>
        <w:t>覆盖一层松土</w:t>
      </w:r>
      <w:r>
        <w:rPr>
          <w:rFonts w:hint="eastAsia"/>
          <w:color w:val="auto"/>
          <w:highlight w:val="none"/>
        </w:rPr>
        <w:t>。</w:t>
      </w:r>
    </w:p>
    <w:p w14:paraId="1C99FEB3">
      <w:pPr>
        <w:pStyle w:val="105"/>
        <w:spacing w:before="156" w:after="156"/>
        <w:ind w:left="218" w:leftChars="104" w:firstLine="0" w:firstLineChars="0"/>
        <w:rPr>
          <w:rFonts w:hint="eastAsia"/>
          <w:color w:val="auto"/>
          <w:highlight w:val="none"/>
        </w:rPr>
      </w:pPr>
      <w:r>
        <w:rPr>
          <w:rFonts w:hint="eastAsia"/>
          <w:color w:val="auto"/>
          <w:highlight w:val="none"/>
        </w:rPr>
        <w:t>葡萄苗定植</w:t>
      </w:r>
    </w:p>
    <w:p w14:paraId="1F02E144">
      <w:pPr>
        <w:pStyle w:val="56"/>
        <w:ind w:firstLine="420"/>
        <w:rPr>
          <w:color w:val="auto"/>
          <w:highlight w:val="none"/>
        </w:rPr>
      </w:pPr>
      <w:r>
        <w:rPr>
          <w:rFonts w:hint="eastAsia"/>
          <w:color w:val="auto"/>
          <w:highlight w:val="none"/>
        </w:rPr>
        <w:t>定植坑回坑一个月后,在坑内重新挖深</w:t>
      </w:r>
      <w:r>
        <w:rPr>
          <w:rFonts w:hint="eastAsia" w:eastAsia="宋体"/>
          <w:color w:val="auto"/>
          <w:highlight w:val="none"/>
          <w:lang w:eastAsia="zh-CN"/>
        </w:rPr>
        <w:t>长、宽</w:t>
      </w:r>
      <w:r>
        <w:rPr>
          <w:rFonts w:hint="eastAsia"/>
          <w:color w:val="auto"/>
          <w:highlight w:val="none"/>
          <w:lang w:val="en-US" w:eastAsia="zh-CN"/>
        </w:rPr>
        <w:t>各</w:t>
      </w:r>
      <w:r>
        <w:rPr>
          <w:rFonts w:hint="eastAsia"/>
          <w:color w:val="auto"/>
          <w:highlight w:val="none"/>
        </w:rPr>
        <w:t>30cm～40cm</w:t>
      </w:r>
      <w:r>
        <w:rPr>
          <w:rFonts w:hint="eastAsia"/>
          <w:color w:val="auto"/>
          <w:highlight w:val="none"/>
          <w:lang w:eastAsia="zh-CN"/>
        </w:rPr>
        <w:t>，深</w:t>
      </w:r>
      <w:r>
        <w:rPr>
          <w:rFonts w:hint="eastAsia"/>
          <w:color w:val="auto"/>
          <w:highlight w:val="none"/>
          <w:lang w:val="en-US" w:eastAsia="zh-CN"/>
        </w:rPr>
        <w:t>20c</w:t>
      </w:r>
      <w:r>
        <w:rPr>
          <w:color w:val="auto"/>
          <w:highlight w:val="none"/>
        </w:rPr>
        <w:t>m</w:t>
      </w:r>
      <w:r>
        <w:rPr>
          <w:rFonts w:hint="eastAsia"/>
          <w:color w:val="auto"/>
          <w:highlight w:val="none"/>
        </w:rPr>
        <w:t>～</w:t>
      </w:r>
      <w:r>
        <w:rPr>
          <w:rFonts w:hint="eastAsia"/>
          <w:color w:val="auto"/>
          <w:highlight w:val="none"/>
          <w:lang w:val="en-US" w:eastAsia="zh-CN"/>
        </w:rPr>
        <w:t>30c</w:t>
      </w:r>
      <w:r>
        <w:rPr>
          <w:rFonts w:hint="eastAsia"/>
          <w:color w:val="auto"/>
          <w:highlight w:val="none"/>
        </w:rPr>
        <w:t>m的</w:t>
      </w:r>
      <w:r>
        <w:rPr>
          <w:rFonts w:hint="eastAsia"/>
          <w:color w:val="auto"/>
          <w:highlight w:val="none"/>
          <w:lang w:eastAsia="zh-CN"/>
        </w:rPr>
        <w:t>定植坑</w:t>
      </w:r>
      <w:r>
        <w:rPr>
          <w:rFonts w:hint="eastAsia"/>
          <w:color w:val="auto"/>
          <w:highlight w:val="none"/>
        </w:rPr>
        <w:t>进行定植。定植时应</w:t>
      </w:r>
      <w:r>
        <w:rPr>
          <w:rFonts w:ascii="Arial" w:hAnsi="Arial" w:cs="Arial"/>
          <w:color w:val="auto"/>
          <w:szCs w:val="21"/>
          <w:highlight w:val="none"/>
          <w:shd w:val="clear" w:color="auto" w:fill="FFFFFF"/>
        </w:rPr>
        <w:t>理顺</w:t>
      </w:r>
      <w:r>
        <w:rPr>
          <w:rFonts w:hint="eastAsia" w:ascii="Arial" w:hAnsi="Arial" w:cs="Arial"/>
          <w:color w:val="auto"/>
          <w:szCs w:val="21"/>
          <w:highlight w:val="none"/>
          <w:shd w:val="clear" w:color="auto" w:fill="FFFFFF"/>
        </w:rPr>
        <w:t>苗木</w:t>
      </w:r>
      <w:r>
        <w:rPr>
          <w:rFonts w:ascii="Arial" w:hAnsi="Arial" w:cs="Arial"/>
          <w:color w:val="auto"/>
          <w:szCs w:val="21"/>
          <w:highlight w:val="none"/>
          <w:shd w:val="clear" w:color="auto" w:fill="FFFFFF"/>
        </w:rPr>
        <w:t>根系</w:t>
      </w:r>
      <w:r>
        <w:rPr>
          <w:rFonts w:hint="eastAsia"/>
          <w:color w:val="auto"/>
          <w:highlight w:val="none"/>
        </w:rPr>
        <w:t>，</w:t>
      </w:r>
      <w:r>
        <w:rPr>
          <w:rFonts w:ascii="Arial" w:hAnsi="Arial" w:cs="Arial"/>
          <w:color w:val="auto"/>
          <w:szCs w:val="21"/>
          <w:highlight w:val="none"/>
          <w:shd w:val="clear" w:color="auto" w:fill="FFFFFF"/>
        </w:rPr>
        <w:t>覆土至根颈处</w:t>
      </w:r>
      <w:r>
        <w:rPr>
          <w:rFonts w:hint="eastAsia" w:ascii="Arial" w:hAnsi="Arial" w:cs="Arial"/>
          <w:color w:val="auto"/>
          <w:szCs w:val="21"/>
          <w:highlight w:val="none"/>
          <w:shd w:val="clear" w:color="auto" w:fill="FFFFFF"/>
        </w:rPr>
        <w:t>时</w:t>
      </w:r>
      <w:r>
        <w:rPr>
          <w:rFonts w:ascii="Arial" w:hAnsi="Arial" w:cs="Arial"/>
          <w:color w:val="auto"/>
          <w:szCs w:val="21"/>
          <w:highlight w:val="none"/>
          <w:shd w:val="clear" w:color="auto" w:fill="FFFFFF"/>
        </w:rPr>
        <w:t>压实</w:t>
      </w:r>
      <w:r>
        <w:rPr>
          <w:rFonts w:hint="eastAsia" w:ascii="Arial" w:hAnsi="Arial" w:cs="Arial"/>
          <w:color w:val="auto"/>
          <w:szCs w:val="21"/>
          <w:highlight w:val="none"/>
          <w:shd w:val="clear" w:color="auto" w:fill="FFFFFF"/>
        </w:rPr>
        <w:t>土壤，</w:t>
      </w:r>
      <w:r>
        <w:rPr>
          <w:rFonts w:ascii="Arial" w:hAnsi="Arial" w:cs="Arial"/>
          <w:color w:val="auto"/>
          <w:szCs w:val="21"/>
          <w:highlight w:val="none"/>
          <w:shd w:val="clear" w:color="auto" w:fill="FFFFFF"/>
        </w:rPr>
        <w:t>淋定根水，</w:t>
      </w:r>
      <w:r>
        <w:rPr>
          <w:rFonts w:hint="eastAsia" w:ascii="Arial" w:hAnsi="Arial" w:cs="Arial"/>
          <w:color w:val="auto"/>
          <w:szCs w:val="21"/>
          <w:highlight w:val="none"/>
          <w:shd w:val="clear" w:color="auto" w:fill="FFFFFF"/>
          <w:lang w:eastAsia="zh-CN"/>
        </w:rPr>
        <w:t>最后</w:t>
      </w:r>
      <w:r>
        <w:rPr>
          <w:rFonts w:hint="eastAsia"/>
          <w:color w:val="auto"/>
          <w:highlight w:val="none"/>
        </w:rPr>
        <w:t>整理出直径</w:t>
      </w:r>
      <w:r>
        <w:rPr>
          <w:rFonts w:hint="eastAsia"/>
          <w:color w:val="auto"/>
          <w:highlight w:val="none"/>
          <w:lang w:val="en-US" w:eastAsia="zh-CN"/>
        </w:rPr>
        <w:t>100c</w:t>
      </w:r>
      <w:r>
        <w:rPr>
          <w:color w:val="auto"/>
          <w:highlight w:val="none"/>
        </w:rPr>
        <w:t>m</w:t>
      </w:r>
      <w:r>
        <w:rPr>
          <w:rFonts w:hint="eastAsia"/>
          <w:color w:val="auto"/>
          <w:highlight w:val="none"/>
        </w:rPr>
        <w:t>～</w:t>
      </w:r>
      <w:r>
        <w:rPr>
          <w:rFonts w:hint="eastAsia"/>
          <w:color w:val="auto"/>
          <w:highlight w:val="none"/>
          <w:lang w:val="en-US" w:eastAsia="zh-CN"/>
        </w:rPr>
        <w:t>120c</w:t>
      </w:r>
      <w:r>
        <w:rPr>
          <w:rFonts w:hint="eastAsia"/>
          <w:color w:val="auto"/>
          <w:highlight w:val="none"/>
        </w:rPr>
        <w:t>m</w:t>
      </w:r>
      <w:r>
        <w:rPr>
          <w:rFonts w:hint="eastAsia"/>
          <w:color w:val="auto"/>
          <w:spacing w:val="0"/>
          <w:w w:val="60"/>
          <w:kern w:val="0"/>
          <w:highlight w:val="none"/>
          <w:fitText w:val="63" w:id="740909690"/>
        </w:rPr>
        <w:t xml:space="preserve"> </w:t>
      </w:r>
      <w:r>
        <w:rPr>
          <w:rFonts w:hint="eastAsia"/>
          <w:color w:val="auto"/>
          <w:highlight w:val="none"/>
        </w:rPr>
        <w:t>的树盘，并用10</w:t>
      </w:r>
      <w:r>
        <w:rPr>
          <w:color w:val="auto"/>
          <w:highlight w:val="none"/>
        </w:rPr>
        <w:t>cm</w:t>
      </w:r>
      <w:r>
        <w:rPr>
          <w:rFonts w:hint="eastAsia"/>
          <w:color w:val="auto"/>
          <w:highlight w:val="none"/>
        </w:rPr>
        <w:t>～15cm厚</w:t>
      </w:r>
      <w:r>
        <w:rPr>
          <w:rFonts w:hint="eastAsia"/>
          <w:color w:val="auto"/>
          <w:highlight w:val="none"/>
          <w:lang w:eastAsia="zh-CN"/>
        </w:rPr>
        <w:t>的</w:t>
      </w:r>
      <w:r>
        <w:rPr>
          <w:rFonts w:hint="eastAsia"/>
          <w:color w:val="auto"/>
          <w:highlight w:val="none"/>
        </w:rPr>
        <w:t>杂草将其覆盖</w:t>
      </w:r>
      <w:r>
        <w:rPr>
          <w:rFonts w:hint="eastAsia"/>
          <w:color w:val="auto"/>
          <w:highlight w:val="none"/>
          <w:lang w:val="en-US" w:eastAsia="zh-CN"/>
        </w:rPr>
        <w:t>,</w:t>
      </w:r>
      <w:r>
        <w:rPr>
          <w:rFonts w:hint="eastAsia"/>
          <w:color w:val="auto"/>
          <w:highlight w:val="none"/>
        </w:rPr>
        <w:t>每</w:t>
      </w:r>
      <w:r>
        <w:rPr>
          <w:rFonts w:hint="eastAsia"/>
          <w:color w:val="auto"/>
          <w:highlight w:val="none"/>
          <w:lang w:eastAsia="zh-CN"/>
        </w:rPr>
        <w:t>667m</w:t>
      </w:r>
      <w:r>
        <w:rPr>
          <w:rFonts w:hint="eastAsia"/>
          <w:color w:val="auto"/>
          <w:highlight w:val="none"/>
          <w:vertAlign w:val="superscript"/>
          <w:lang w:eastAsia="zh-CN"/>
        </w:rPr>
        <w:t>2</w:t>
      </w:r>
      <w:r>
        <w:rPr>
          <w:rFonts w:hint="eastAsia"/>
          <w:color w:val="auto"/>
          <w:highlight w:val="none"/>
        </w:rPr>
        <w:t>定植5～10株。</w:t>
      </w:r>
    </w:p>
    <w:p w14:paraId="7A02DB5A">
      <w:pPr>
        <w:pStyle w:val="105"/>
        <w:spacing w:before="156" w:after="156"/>
        <w:ind w:left="218" w:leftChars="104" w:firstLine="0" w:firstLineChars="0"/>
        <w:rPr>
          <w:rFonts w:hint="eastAsia"/>
          <w:color w:val="auto"/>
          <w:highlight w:val="none"/>
        </w:rPr>
      </w:pPr>
      <w:r>
        <w:rPr>
          <w:rFonts w:hint="eastAsia"/>
          <w:color w:val="auto"/>
          <w:highlight w:val="none"/>
        </w:rPr>
        <w:t>定植时间</w:t>
      </w:r>
    </w:p>
    <w:p w14:paraId="647FE637">
      <w:pPr>
        <w:pStyle w:val="56"/>
        <w:ind w:firstLine="420"/>
        <w:rPr>
          <w:rFonts w:hint="eastAsia"/>
          <w:color w:val="auto"/>
          <w:highlight w:val="none"/>
        </w:rPr>
      </w:pPr>
      <w:r>
        <w:rPr>
          <w:rFonts w:hAnsi="宋体" w:cs="黑体"/>
          <w:color w:val="auto"/>
          <w:szCs w:val="21"/>
          <w:highlight w:val="none"/>
        </w:rPr>
        <w:t>茶苗</w:t>
      </w:r>
      <w:r>
        <w:rPr>
          <w:rFonts w:hint="eastAsia" w:hAnsi="宋体" w:cs="黑体"/>
          <w:color w:val="auto"/>
          <w:szCs w:val="21"/>
          <w:highlight w:val="none"/>
        </w:rPr>
        <w:t>、</w:t>
      </w:r>
      <w:r>
        <w:rPr>
          <w:rFonts w:hint="eastAsia" w:hAnsi="宋体" w:cs="黑体"/>
          <w:color w:val="auto"/>
          <w:szCs w:val="21"/>
          <w:highlight w:val="none"/>
          <w:lang w:eastAsia="zh-CN"/>
        </w:rPr>
        <w:t>葡萄</w:t>
      </w:r>
      <w:r>
        <w:rPr>
          <w:rFonts w:hAnsi="宋体" w:cs="黑体"/>
          <w:color w:val="auto"/>
          <w:szCs w:val="21"/>
          <w:highlight w:val="none"/>
        </w:rPr>
        <w:t>苗</w:t>
      </w:r>
      <w:r>
        <w:rPr>
          <w:rFonts w:hint="eastAsia" w:hAnsi="宋体" w:cs="黑体"/>
          <w:color w:val="auto"/>
          <w:szCs w:val="21"/>
          <w:highlight w:val="none"/>
        </w:rPr>
        <w:t>宜</w:t>
      </w:r>
      <w:r>
        <w:rPr>
          <w:rFonts w:hAnsi="宋体" w:cs="黑体"/>
          <w:color w:val="auto"/>
          <w:szCs w:val="21"/>
          <w:highlight w:val="none"/>
        </w:rPr>
        <w:t>在</w:t>
      </w:r>
      <w:r>
        <w:rPr>
          <w:rFonts w:hint="eastAsia" w:hAnsi="宋体" w:cs="黑体"/>
          <w:color w:val="auto"/>
          <w:szCs w:val="21"/>
          <w:highlight w:val="none"/>
          <w:lang w:eastAsia="zh-CN"/>
        </w:rPr>
        <w:t>当</w:t>
      </w:r>
      <w:r>
        <w:rPr>
          <w:rFonts w:hAnsi="宋体" w:cs="黑体"/>
          <w:color w:val="auto"/>
          <w:szCs w:val="21"/>
          <w:highlight w:val="none"/>
        </w:rPr>
        <w:t>年</w:t>
      </w:r>
      <w:r>
        <w:rPr>
          <w:rFonts w:hint="eastAsia" w:hAnsi="宋体" w:cs="黑体"/>
          <w:color w:val="auto"/>
          <w:szCs w:val="21"/>
          <w:highlight w:val="none"/>
        </w:rPr>
        <w:t>1</w:t>
      </w:r>
      <w:r>
        <w:rPr>
          <w:rFonts w:hint="eastAsia" w:hAnsi="宋体" w:cs="黑体"/>
          <w:color w:val="auto"/>
          <w:szCs w:val="21"/>
          <w:highlight w:val="none"/>
          <w:lang w:val="en-US" w:eastAsia="zh-CN"/>
        </w:rPr>
        <w:t>1</w:t>
      </w:r>
      <w:r>
        <w:rPr>
          <w:rFonts w:hint="eastAsia" w:hAnsi="宋体" w:cs="黑体"/>
          <w:color w:val="auto"/>
          <w:szCs w:val="21"/>
          <w:highlight w:val="none"/>
        </w:rPr>
        <w:t>～</w:t>
      </w:r>
      <w:r>
        <w:rPr>
          <w:rFonts w:hint="eastAsia" w:hAnsi="宋体" w:cs="黑体"/>
          <w:color w:val="auto"/>
          <w:szCs w:val="21"/>
          <w:highlight w:val="none"/>
          <w:lang w:val="en-US" w:eastAsia="zh-CN"/>
        </w:rPr>
        <w:t>1</w:t>
      </w:r>
      <w:r>
        <w:rPr>
          <w:rFonts w:hint="eastAsia" w:hAnsi="宋体" w:cs="黑体"/>
          <w:color w:val="auto"/>
          <w:szCs w:val="21"/>
          <w:highlight w:val="none"/>
        </w:rPr>
        <w:t>2月份</w:t>
      </w:r>
      <w:r>
        <w:rPr>
          <w:rFonts w:hAnsi="宋体" w:cs="黑体"/>
          <w:color w:val="auto"/>
          <w:szCs w:val="21"/>
          <w:highlight w:val="none"/>
        </w:rPr>
        <w:t>完成定植</w:t>
      </w:r>
      <w:r>
        <w:rPr>
          <w:rFonts w:hint="eastAsia" w:hAnsi="宋体" w:cs="黑体"/>
          <w:color w:val="auto"/>
          <w:szCs w:val="21"/>
          <w:highlight w:val="none"/>
        </w:rPr>
        <w:t>。</w:t>
      </w:r>
    </w:p>
    <w:p w14:paraId="6FE2F4F0">
      <w:pPr>
        <w:pStyle w:val="104"/>
        <w:spacing w:before="312" w:after="312"/>
        <w:ind w:left="218" w:leftChars="104" w:firstLine="0" w:firstLineChars="0"/>
        <w:rPr>
          <w:rFonts w:hint="eastAsia"/>
          <w:color w:val="auto"/>
          <w:highlight w:val="none"/>
          <w:lang w:val="en-US" w:eastAsia="zh-CN"/>
        </w:rPr>
      </w:pPr>
      <w:r>
        <w:rPr>
          <w:rFonts w:hint="eastAsia"/>
          <w:color w:val="auto"/>
          <w:highlight w:val="none"/>
          <w:lang w:val="en-US" w:eastAsia="zh-CN"/>
        </w:rPr>
        <w:t>葡萄架搭建</w:t>
      </w:r>
    </w:p>
    <w:p w14:paraId="73C22871">
      <w:pPr>
        <w:pStyle w:val="105"/>
        <w:spacing w:before="156" w:after="156"/>
        <w:ind w:left="218" w:leftChars="104" w:firstLine="0" w:firstLineChars="0"/>
        <w:rPr>
          <w:rFonts w:hint="eastAsia"/>
          <w:color w:val="auto"/>
          <w:highlight w:val="none"/>
        </w:rPr>
      </w:pPr>
      <w:r>
        <w:rPr>
          <w:rFonts w:hint="eastAsia"/>
          <w:color w:val="auto"/>
          <w:highlight w:val="none"/>
        </w:rPr>
        <w:t>搭建材料</w:t>
      </w:r>
    </w:p>
    <w:p w14:paraId="535C17DE">
      <w:pPr>
        <w:pStyle w:val="105"/>
        <w:numPr>
          <w:ilvl w:val="0"/>
          <w:numId w:val="0"/>
        </w:numPr>
        <w:spacing w:before="0" w:beforeLines="0" w:after="0" w:afterLines="0"/>
        <w:ind w:firstLine="420" w:firstLineChars="200"/>
        <w:outlineLvl w:val="9"/>
        <w:rPr>
          <w:rFonts w:hint="eastAsia" w:eastAsia="宋体"/>
          <w:color w:val="auto"/>
          <w:highlight w:val="none"/>
        </w:rPr>
      </w:pPr>
      <w:r>
        <w:rPr>
          <w:rFonts w:hint="eastAsia" w:ascii="宋体" w:eastAsia="宋体"/>
          <w:color w:val="auto"/>
          <w:highlight w:val="none"/>
        </w:rPr>
        <w:t>材料宜选用长、宽、高</w:t>
      </w:r>
      <w:r>
        <w:rPr>
          <w:rFonts w:hint="eastAsia" w:ascii="宋体" w:eastAsia="宋体"/>
          <w:color w:val="auto"/>
          <w:highlight w:val="none"/>
          <w:lang w:val="en-US" w:eastAsia="zh-CN"/>
        </w:rPr>
        <w:t>各</w:t>
      </w:r>
      <w:r>
        <w:rPr>
          <w:rFonts w:hint="eastAsia" w:ascii="宋体" w:eastAsia="宋体"/>
          <w:color w:val="auto"/>
          <w:highlight w:val="none"/>
        </w:rPr>
        <w:t>为</w:t>
      </w:r>
      <w:r>
        <w:rPr>
          <w:rFonts w:hint="eastAsia" w:ascii="宋体" w:eastAsia="宋体"/>
          <w:color w:val="auto"/>
          <w:highlight w:val="none"/>
          <w:lang w:val="en-US" w:eastAsia="zh-CN"/>
        </w:rPr>
        <w:t>10c</w:t>
      </w:r>
      <w:r>
        <w:rPr>
          <w:rFonts w:hint="eastAsia" w:ascii="宋体" w:eastAsia="宋体"/>
          <w:color w:val="auto"/>
          <w:highlight w:val="none"/>
        </w:rPr>
        <w:t>m、</w:t>
      </w:r>
      <w:r>
        <w:rPr>
          <w:rFonts w:hint="eastAsia" w:ascii="宋体" w:eastAsia="宋体"/>
          <w:color w:val="auto"/>
          <w:highlight w:val="none"/>
          <w:lang w:val="en-US" w:eastAsia="zh-CN"/>
        </w:rPr>
        <w:t>10c</w:t>
      </w:r>
      <w:r>
        <w:rPr>
          <w:rFonts w:hint="eastAsia" w:ascii="宋体" w:eastAsia="宋体"/>
          <w:color w:val="auto"/>
          <w:highlight w:val="none"/>
        </w:rPr>
        <w:t>m、</w:t>
      </w:r>
      <w:r>
        <w:rPr>
          <w:rFonts w:hint="eastAsia" w:ascii="宋体" w:eastAsia="宋体"/>
          <w:color w:val="auto"/>
          <w:highlight w:val="none"/>
          <w:lang w:val="en-US" w:eastAsia="zh-CN"/>
        </w:rPr>
        <w:t>250c</w:t>
      </w:r>
      <w:r>
        <w:rPr>
          <w:rFonts w:hint="eastAsia" w:ascii="宋体" w:eastAsia="宋体"/>
          <w:color w:val="auto"/>
          <w:highlight w:val="none"/>
        </w:rPr>
        <w:t>m的长方体水泥立柱；直径</w:t>
      </w:r>
      <w:r>
        <w:rPr>
          <w:rFonts w:hint="eastAsia" w:ascii="宋体" w:eastAsia="宋体"/>
          <w:color w:val="auto"/>
          <w:highlight w:val="none"/>
          <w:lang w:val="en-US" w:eastAsia="zh-CN"/>
        </w:rPr>
        <w:t>0.2c</w:t>
      </w:r>
      <w:r>
        <w:rPr>
          <w:rFonts w:ascii="宋体" w:eastAsia="宋体"/>
          <w:color w:val="auto"/>
          <w:highlight w:val="none"/>
        </w:rPr>
        <w:t>m</w:t>
      </w:r>
      <w:r>
        <w:rPr>
          <w:rFonts w:hint="eastAsia" w:ascii="宋体" w:eastAsia="宋体"/>
          <w:color w:val="auto"/>
          <w:highlight w:val="none"/>
        </w:rPr>
        <w:t>～</w:t>
      </w:r>
      <w:r>
        <w:rPr>
          <w:rFonts w:hint="eastAsia" w:ascii="宋体" w:eastAsia="宋体"/>
          <w:color w:val="auto"/>
          <w:highlight w:val="none"/>
          <w:lang w:val="en-US" w:eastAsia="zh-CN"/>
        </w:rPr>
        <w:t>0.3c</w:t>
      </w:r>
      <w:r>
        <w:rPr>
          <w:rFonts w:hint="eastAsia" w:ascii="宋体" w:eastAsia="宋体"/>
          <w:color w:val="auto"/>
          <w:highlight w:val="none"/>
        </w:rPr>
        <w:t>m的热镀锌钢丝；牵引锚石</w:t>
      </w:r>
      <w:r>
        <w:rPr>
          <w:rFonts w:hint="eastAsia" w:ascii="宋体" w:eastAsia="宋体"/>
          <w:color w:val="auto"/>
          <w:highlight w:val="none"/>
          <w:lang w:eastAsia="zh-CN"/>
        </w:rPr>
        <w:t>等。</w:t>
      </w:r>
      <w:r>
        <w:rPr>
          <w:rFonts w:hint="eastAsia" w:ascii="宋体" w:eastAsia="宋体"/>
          <w:color w:val="auto"/>
          <w:highlight w:val="none"/>
        </w:rPr>
        <w:t>每</w:t>
      </w:r>
      <w:r>
        <w:rPr>
          <w:rFonts w:hint="eastAsia" w:ascii="宋体" w:eastAsia="宋体"/>
          <w:color w:val="auto"/>
          <w:highlight w:val="none"/>
          <w:lang w:eastAsia="zh-CN"/>
        </w:rPr>
        <w:t>667</w:t>
      </w:r>
      <w:r>
        <w:rPr>
          <w:rFonts w:hint="eastAsia" w:ascii="宋体" w:eastAsia="宋体"/>
          <w:color w:val="auto"/>
          <w:highlight w:val="none"/>
          <w:lang w:val="en-US" w:eastAsia="zh-CN"/>
        </w:rPr>
        <w:t>m</w:t>
      </w:r>
      <w:r>
        <w:rPr>
          <w:rFonts w:hint="eastAsia" w:ascii="宋体" w:eastAsia="宋体"/>
          <w:color w:val="auto"/>
          <w:highlight w:val="none"/>
          <w:vertAlign w:val="superscript"/>
          <w:lang w:val="en-US" w:eastAsia="zh-CN"/>
        </w:rPr>
        <w:t>2</w:t>
      </w:r>
      <w:r>
        <w:rPr>
          <w:rFonts w:hint="eastAsia" w:ascii="宋体" w:eastAsia="宋体"/>
          <w:color w:val="auto"/>
          <w:highlight w:val="none"/>
        </w:rPr>
        <w:t>需水泥立柱80</w:t>
      </w:r>
      <w:r>
        <w:rPr>
          <w:rFonts w:hint="eastAsia" w:eastAsia="宋体"/>
          <w:color w:val="auto"/>
          <w:highlight w:val="none"/>
        </w:rPr>
        <w:t>～</w:t>
      </w:r>
      <w:r>
        <w:rPr>
          <w:rFonts w:hint="eastAsia" w:ascii="宋体" w:eastAsia="宋体"/>
          <w:color w:val="auto"/>
          <w:highlight w:val="none"/>
        </w:rPr>
        <w:t>1</w:t>
      </w:r>
      <w:r>
        <w:rPr>
          <w:rFonts w:hint="eastAsia" w:ascii="宋体" w:eastAsia="宋体"/>
          <w:color w:val="auto"/>
          <w:highlight w:val="none"/>
          <w:lang w:val="en-US" w:eastAsia="zh-CN"/>
        </w:rPr>
        <w:t>4</w:t>
      </w:r>
      <w:r>
        <w:rPr>
          <w:rFonts w:hint="eastAsia" w:ascii="宋体" w:eastAsia="宋体"/>
          <w:color w:val="auto"/>
          <w:highlight w:val="none"/>
        </w:rPr>
        <w:t>0根</w:t>
      </w:r>
      <w:r>
        <w:rPr>
          <w:rFonts w:hint="eastAsia" w:ascii="宋体" w:hAnsi="宋体" w:eastAsia="宋体" w:cs="宋体"/>
          <w:color w:val="auto"/>
          <w:highlight w:val="none"/>
        </w:rPr>
        <w:t>，钢丝175</w:t>
      </w:r>
      <w:r>
        <w:rPr>
          <w:rFonts w:ascii="宋体" w:hAnsi="宋体" w:eastAsia="宋体" w:cs="宋体"/>
          <w:color w:val="auto"/>
          <w:highlight w:val="none"/>
        </w:rPr>
        <w:t>kg</w:t>
      </w:r>
      <w:r>
        <w:rPr>
          <w:rFonts w:hint="eastAsia" w:ascii="宋体" w:hAnsi="宋体" w:eastAsia="宋体" w:cs="宋体"/>
          <w:color w:val="auto"/>
          <w:highlight w:val="none"/>
        </w:rPr>
        <w:t>～225k</w:t>
      </w:r>
      <w:r>
        <w:rPr>
          <w:rFonts w:hint="eastAsia" w:ascii="宋体" w:eastAsia="宋体"/>
          <w:color w:val="auto"/>
          <w:highlight w:val="none"/>
        </w:rPr>
        <w:t>g，牵引锚石</w:t>
      </w:r>
      <w:r>
        <w:rPr>
          <w:rFonts w:hint="eastAsia" w:ascii="宋体" w:hAnsi="宋体" w:eastAsia="宋体" w:cs="宋体"/>
          <w:color w:val="auto"/>
          <w:highlight w:val="none"/>
        </w:rPr>
        <w:t>50～60个</w:t>
      </w:r>
      <w:r>
        <w:rPr>
          <w:rFonts w:hint="eastAsia" w:ascii="宋体" w:eastAsia="宋体"/>
          <w:color w:val="auto"/>
          <w:highlight w:val="none"/>
        </w:rPr>
        <w:t>。</w:t>
      </w:r>
    </w:p>
    <w:p w14:paraId="00746395">
      <w:pPr>
        <w:pStyle w:val="105"/>
        <w:spacing w:before="156" w:after="156"/>
        <w:ind w:left="16" w:leftChars="0" w:hanging="16" w:hangingChars="8"/>
        <w:rPr>
          <w:rFonts w:hint="eastAsia"/>
          <w:color w:val="auto"/>
          <w:highlight w:val="none"/>
        </w:rPr>
      </w:pPr>
      <w:r>
        <w:rPr>
          <w:rFonts w:hint="eastAsia"/>
          <w:color w:val="auto"/>
          <w:highlight w:val="none"/>
        </w:rPr>
        <w:t>搭建方法</w:t>
      </w:r>
    </w:p>
    <w:p w14:paraId="5F45A1B1">
      <w:pPr>
        <w:pStyle w:val="56"/>
        <w:ind w:left="0" w:leftChars="0" w:firstLine="218" w:firstLineChars="104"/>
        <w:rPr>
          <w:rFonts w:hint="eastAsia"/>
          <w:color w:val="auto"/>
          <w:highlight w:val="none"/>
        </w:rPr>
      </w:pPr>
      <w:r>
        <w:rPr>
          <w:rFonts w:hAnsi="宋体" w:cs="黑体"/>
          <w:color w:val="auto"/>
          <w:szCs w:val="21"/>
          <w:highlight w:val="none"/>
        </w:rPr>
        <w:t>定植</w:t>
      </w:r>
      <w:r>
        <w:rPr>
          <w:rFonts w:hint="eastAsia" w:hAnsi="宋体" w:cs="黑体"/>
          <w:color w:val="auto"/>
          <w:szCs w:val="21"/>
          <w:highlight w:val="none"/>
        </w:rPr>
        <w:t>完成</w:t>
      </w:r>
      <w:r>
        <w:rPr>
          <w:rFonts w:hAnsi="宋体" w:cs="黑体"/>
          <w:color w:val="auto"/>
          <w:szCs w:val="21"/>
          <w:highlight w:val="none"/>
        </w:rPr>
        <w:t>后开始搭建葡萄架，在畦</w:t>
      </w:r>
      <w:r>
        <w:rPr>
          <w:rFonts w:hint="eastAsia" w:hAnsi="宋体" w:cs="黑体"/>
          <w:color w:val="auto"/>
          <w:szCs w:val="21"/>
          <w:highlight w:val="none"/>
          <w:lang w:eastAsia="zh-CN"/>
        </w:rPr>
        <w:t>的</w:t>
      </w:r>
      <w:r>
        <w:rPr>
          <w:rFonts w:hAnsi="宋体" w:cs="黑体"/>
          <w:color w:val="auto"/>
          <w:szCs w:val="21"/>
          <w:highlight w:val="none"/>
        </w:rPr>
        <w:t>中间立</w:t>
      </w:r>
      <w:r>
        <w:rPr>
          <w:rFonts w:hint="eastAsia"/>
          <w:color w:val="auto"/>
          <w:highlight w:val="none"/>
        </w:rPr>
        <w:t>1</w:t>
      </w:r>
      <w:r>
        <w:rPr>
          <w:rFonts w:hAnsi="宋体" w:cs="黑体"/>
          <w:color w:val="auto"/>
          <w:szCs w:val="21"/>
          <w:highlight w:val="none"/>
        </w:rPr>
        <w:t>排水泥柱，架高</w:t>
      </w:r>
      <w:r>
        <w:rPr>
          <w:rFonts w:hint="eastAsia" w:hAnsi="宋体" w:cs="黑体"/>
          <w:color w:val="auto"/>
          <w:szCs w:val="21"/>
          <w:highlight w:val="none"/>
          <w:lang w:val="en-US" w:eastAsia="zh-CN"/>
        </w:rPr>
        <w:t>180c</w:t>
      </w:r>
      <w:r>
        <w:rPr>
          <w:rFonts w:hAnsi="宋体" w:cs="黑体"/>
          <w:color w:val="auto"/>
          <w:szCs w:val="21"/>
          <w:highlight w:val="none"/>
        </w:rPr>
        <w:t>m～</w:t>
      </w:r>
      <w:r>
        <w:rPr>
          <w:rFonts w:hint="eastAsia" w:hAnsi="宋体" w:cs="黑体"/>
          <w:color w:val="auto"/>
          <w:szCs w:val="21"/>
          <w:highlight w:val="none"/>
          <w:lang w:val="en-US" w:eastAsia="zh-CN"/>
        </w:rPr>
        <w:t>200c</w:t>
      </w:r>
      <w:r>
        <w:rPr>
          <w:rFonts w:hAnsi="宋体" w:cs="黑体"/>
          <w:color w:val="auto"/>
          <w:szCs w:val="21"/>
          <w:highlight w:val="none"/>
        </w:rPr>
        <w:t>m（入土深度</w:t>
      </w:r>
      <w:r>
        <w:rPr>
          <w:rFonts w:hint="eastAsia" w:hAnsi="宋体" w:cs="黑体"/>
          <w:color w:val="auto"/>
          <w:szCs w:val="21"/>
          <w:highlight w:val="none"/>
          <w:lang w:val="en-US" w:eastAsia="zh-CN"/>
        </w:rPr>
        <w:t>50c</w:t>
      </w:r>
      <w:r>
        <w:rPr>
          <w:rFonts w:hAnsi="宋体" w:cs="黑体"/>
          <w:color w:val="auto"/>
          <w:szCs w:val="21"/>
          <w:highlight w:val="none"/>
        </w:rPr>
        <w:t>m～</w:t>
      </w:r>
      <w:r>
        <w:rPr>
          <w:rFonts w:hint="eastAsia" w:hAnsi="宋体" w:cs="黑体"/>
          <w:color w:val="auto"/>
          <w:szCs w:val="21"/>
          <w:highlight w:val="none"/>
          <w:lang w:val="en-US" w:eastAsia="zh-CN"/>
        </w:rPr>
        <w:t>70cm</w:t>
      </w:r>
      <w:r>
        <w:rPr>
          <w:rFonts w:hAnsi="宋体" w:cs="黑体"/>
          <w:color w:val="auto"/>
          <w:szCs w:val="21"/>
          <w:highlight w:val="none"/>
        </w:rPr>
        <w:t>），柱间距2</w:t>
      </w:r>
      <w:r>
        <w:rPr>
          <w:rFonts w:hint="eastAsia" w:hAnsi="宋体" w:cs="黑体"/>
          <w:color w:val="auto"/>
          <w:szCs w:val="21"/>
          <w:highlight w:val="none"/>
          <w:lang w:val="en-US" w:eastAsia="zh-CN"/>
        </w:rPr>
        <w:t>00c</w:t>
      </w:r>
      <w:r>
        <w:rPr>
          <w:rFonts w:hAnsi="宋体" w:cs="黑体"/>
          <w:color w:val="auto"/>
          <w:szCs w:val="21"/>
          <w:highlight w:val="none"/>
        </w:rPr>
        <w:t>m～3</w:t>
      </w:r>
      <w:r>
        <w:rPr>
          <w:rFonts w:hint="eastAsia" w:hAnsi="宋体" w:cs="黑体"/>
          <w:color w:val="auto"/>
          <w:szCs w:val="21"/>
          <w:highlight w:val="none"/>
          <w:lang w:val="en-US" w:eastAsia="zh-CN"/>
        </w:rPr>
        <w:t>00</w:t>
      </w:r>
      <w:r>
        <w:rPr>
          <w:rFonts w:hint="eastAsia" w:hAnsi="宋体" w:cs="黑体"/>
          <w:color w:val="auto"/>
          <w:kern w:val="0"/>
          <w:szCs w:val="21"/>
          <w:highlight w:val="none"/>
          <w:lang w:val="en-US" w:eastAsia="zh-CN"/>
        </w:rPr>
        <w:t>c</w:t>
      </w:r>
      <w:r>
        <w:rPr>
          <w:rFonts w:hAnsi="宋体" w:cs="黑体"/>
          <w:color w:val="auto"/>
          <w:szCs w:val="21"/>
          <w:highlight w:val="none"/>
        </w:rPr>
        <w:t>m，柱</w:t>
      </w:r>
      <w:r>
        <w:rPr>
          <w:rFonts w:hint="eastAsia" w:hAnsi="宋体" w:cs="黑体"/>
          <w:color w:val="auto"/>
          <w:szCs w:val="21"/>
          <w:highlight w:val="none"/>
          <w:lang w:val="en-US" w:eastAsia="zh-CN"/>
        </w:rPr>
        <w:t>行</w:t>
      </w:r>
      <w:r>
        <w:rPr>
          <w:rFonts w:hAnsi="宋体" w:cs="黑体"/>
          <w:color w:val="auto"/>
          <w:szCs w:val="21"/>
          <w:highlight w:val="none"/>
        </w:rPr>
        <w:t>距</w:t>
      </w:r>
      <w:r>
        <w:rPr>
          <w:rFonts w:hint="eastAsia"/>
          <w:color w:val="auto"/>
          <w:highlight w:val="none"/>
          <w:lang w:val="en-US" w:eastAsia="zh-CN"/>
        </w:rPr>
        <w:t>240c</w:t>
      </w:r>
      <w:r>
        <w:rPr>
          <w:color w:val="auto"/>
          <w:highlight w:val="none"/>
        </w:rPr>
        <w:t>m</w:t>
      </w:r>
      <w:r>
        <w:rPr>
          <w:rFonts w:hint="eastAsia"/>
          <w:color w:val="auto"/>
          <w:highlight w:val="none"/>
        </w:rPr>
        <w:t>～</w:t>
      </w:r>
      <w:r>
        <w:rPr>
          <w:rFonts w:hint="eastAsia"/>
          <w:color w:val="auto"/>
          <w:highlight w:val="none"/>
          <w:lang w:val="en-US" w:eastAsia="zh-CN"/>
        </w:rPr>
        <w:t>300c</w:t>
      </w:r>
      <w:r>
        <w:rPr>
          <w:rFonts w:hint="eastAsia"/>
          <w:color w:val="auto"/>
          <w:highlight w:val="none"/>
        </w:rPr>
        <w:t>m</w:t>
      </w:r>
      <w:r>
        <w:rPr>
          <w:rFonts w:hint="eastAsia" w:hAnsi="宋体" w:cs="黑体"/>
          <w:color w:val="auto"/>
          <w:szCs w:val="21"/>
          <w:highlight w:val="none"/>
          <w:lang w:eastAsia="zh-CN"/>
        </w:rPr>
        <w:t>，</w:t>
      </w:r>
      <w:r>
        <w:rPr>
          <w:rFonts w:hAnsi="宋体" w:cs="黑体"/>
          <w:color w:val="auto"/>
          <w:szCs w:val="21"/>
          <w:highlight w:val="none"/>
        </w:rPr>
        <w:t>柱顶用钢丝相互牵引，钢丝之间相互连接形成</w:t>
      </w:r>
      <w:r>
        <w:rPr>
          <w:rFonts w:hint="eastAsia" w:hAnsi="宋体" w:cs="黑体"/>
          <w:color w:val="auto"/>
          <w:szCs w:val="21"/>
          <w:highlight w:val="none"/>
        </w:rPr>
        <w:t>30×30cm</w:t>
      </w:r>
      <w:r>
        <w:rPr>
          <w:rFonts w:hAnsi="宋体" w:cs="黑体"/>
          <w:color w:val="auto"/>
          <w:szCs w:val="21"/>
          <w:highlight w:val="none"/>
        </w:rPr>
        <w:t>井字形钢丝网</w:t>
      </w:r>
      <w:r>
        <w:rPr>
          <w:rFonts w:hint="eastAsia" w:hAnsi="宋体" w:cs="黑体"/>
          <w:color w:val="auto"/>
          <w:szCs w:val="21"/>
          <w:highlight w:val="none"/>
          <w:lang w:val="en-US" w:eastAsia="zh-CN"/>
        </w:rPr>
        <w:t>平面</w:t>
      </w:r>
      <w:r>
        <w:rPr>
          <w:rFonts w:hAnsi="宋体" w:cs="黑体"/>
          <w:color w:val="auto"/>
          <w:szCs w:val="21"/>
          <w:highlight w:val="none"/>
        </w:rPr>
        <w:t>，四周边柱埋设牵引锚石绷紧架面。</w:t>
      </w:r>
    </w:p>
    <w:p w14:paraId="1E914CAF">
      <w:pPr>
        <w:pStyle w:val="104"/>
        <w:spacing w:before="312" w:after="312"/>
        <w:rPr>
          <w:color w:val="auto"/>
          <w:highlight w:val="none"/>
        </w:rPr>
      </w:pPr>
      <w:r>
        <w:rPr>
          <w:rFonts w:hint="eastAsia"/>
          <w:color w:val="auto"/>
          <w:highlight w:val="none"/>
          <w:lang w:val="en-US" w:eastAsia="zh-CN"/>
        </w:rPr>
        <w:t>栽培</w:t>
      </w:r>
      <w:r>
        <w:rPr>
          <w:rFonts w:hint="eastAsia"/>
          <w:color w:val="auto"/>
          <w:highlight w:val="none"/>
        </w:rPr>
        <w:t>管理</w:t>
      </w:r>
    </w:p>
    <w:p w14:paraId="65086A54">
      <w:pPr>
        <w:pStyle w:val="162"/>
        <w:spacing w:before="156" w:beforeLines="50" w:after="156" w:afterLines="50"/>
        <w:outlineLvl w:val="1"/>
        <w:rPr>
          <w:color w:val="auto"/>
          <w:highlight w:val="none"/>
        </w:rPr>
      </w:pPr>
      <w:r>
        <w:rPr>
          <w:rFonts w:hint="eastAsia" w:ascii="黑体" w:hAnsi="ºÚÌå" w:eastAsia="黑体" w:cs="黑体"/>
          <w:color w:val="auto"/>
          <w:szCs w:val="21"/>
          <w:highlight w:val="none"/>
        </w:rPr>
        <w:t>茶树管理</w:t>
      </w:r>
    </w:p>
    <w:p w14:paraId="20EA1855">
      <w:pPr>
        <w:autoSpaceDE w:val="0"/>
        <w:autoSpaceDN w:val="0"/>
        <w:spacing w:line="240" w:lineRule="auto"/>
        <w:ind w:firstLine="420" w:firstLineChars="200"/>
        <w:jc w:val="left"/>
        <w:rPr>
          <w:rFonts w:hint="default" w:ascii="宋体" w:hAnsi="宋体" w:eastAsia="宋体" w:cs="宋体"/>
          <w:color w:val="auto"/>
          <w:kern w:val="0"/>
          <w:highlight w:val="none"/>
          <w:lang w:val="en-US" w:eastAsia="zh-CN"/>
        </w:rPr>
      </w:pPr>
      <w:r>
        <w:rPr>
          <w:rFonts w:hint="eastAsia" w:ascii="宋体" w:hAnsi="宋体" w:cs="宋体"/>
          <w:color w:val="auto"/>
          <w:kern w:val="0"/>
          <w:highlight w:val="none"/>
          <w:lang w:val="en-US" w:eastAsia="zh-CN"/>
        </w:rPr>
        <w:t>按NY/T 5018的规定执行。</w:t>
      </w:r>
    </w:p>
    <w:p w14:paraId="01E8F67D">
      <w:pPr>
        <w:pStyle w:val="162"/>
        <w:spacing w:before="156" w:beforeLines="50" w:after="156" w:afterLines="50"/>
        <w:outlineLvl w:val="1"/>
        <w:rPr>
          <w:rFonts w:hint="default" w:eastAsia="宋体"/>
          <w:color w:val="auto"/>
          <w:highlight w:val="none"/>
          <w:lang w:val="en-US" w:eastAsia="zh-CN"/>
        </w:rPr>
      </w:pPr>
      <w:r>
        <w:rPr>
          <w:rFonts w:hint="eastAsia" w:ascii="黑体" w:hAnsi="ºÚÌå" w:eastAsia="黑体" w:cs="黑体"/>
          <w:color w:val="auto"/>
          <w:szCs w:val="21"/>
          <w:highlight w:val="none"/>
        </w:rPr>
        <w:t>葡萄管理</w:t>
      </w:r>
    </w:p>
    <w:p w14:paraId="281FE312">
      <w:pPr>
        <w:pStyle w:val="162"/>
        <w:numPr>
          <w:ilvl w:val="2"/>
          <w:numId w:val="0"/>
        </w:numPr>
        <w:spacing w:before="156" w:beforeLines="50" w:after="156" w:afterLines="50"/>
        <w:outlineLvl w:val="3"/>
        <w:rPr>
          <w:rFonts w:hint="eastAsia" w:ascii="黑体" w:hAnsi="ºÚÌå" w:eastAsia="黑体" w:cs="黑体"/>
          <w:color w:val="auto"/>
          <w:szCs w:val="21"/>
          <w:highlight w:val="none"/>
        </w:rPr>
      </w:pPr>
      <w:r>
        <w:rPr>
          <w:rFonts w:hint="eastAsia" w:ascii="黑体" w:hAnsi="黑体" w:eastAsia="黑体" w:cs="黑体"/>
          <w:color w:val="auto"/>
          <w:highlight w:val="none"/>
        </w:rPr>
        <w:t>9.2.</w:t>
      </w:r>
      <w:r>
        <w:rPr>
          <w:rFonts w:hint="eastAsia" w:ascii="黑体" w:hAnsi="黑体" w:eastAsia="黑体" w:cs="黑体"/>
          <w:color w:val="auto"/>
          <w:highlight w:val="none"/>
          <w:lang w:val="en-US" w:eastAsia="zh-CN"/>
        </w:rPr>
        <w:t>1</w:t>
      </w:r>
      <w:r>
        <w:rPr>
          <w:rFonts w:hint="eastAsia" w:ascii="黑体" w:hAnsi="黑体" w:eastAsia="黑体" w:cs="黑体"/>
          <w:color w:val="auto"/>
          <w:spacing w:val="0"/>
          <w:kern w:val="0"/>
          <w:highlight w:val="none"/>
          <w:fitText w:val="210" w:id="208303595"/>
        </w:rPr>
        <w:t xml:space="preserve">  </w:t>
      </w:r>
      <w:r>
        <w:rPr>
          <w:rFonts w:hint="eastAsia" w:ascii="黑体" w:hAnsi="黑体" w:eastAsia="黑体" w:cs="黑体"/>
          <w:color w:val="auto"/>
          <w:kern w:val="0"/>
          <w:highlight w:val="none"/>
          <w:lang w:val="en-US" w:eastAsia="zh-CN"/>
        </w:rPr>
        <w:t>肥水</w:t>
      </w:r>
      <w:r>
        <w:rPr>
          <w:rFonts w:hint="eastAsia" w:ascii="黑体" w:hAnsi="ºÚÌå" w:eastAsia="黑体" w:cs="黑体"/>
          <w:color w:val="auto"/>
          <w:szCs w:val="21"/>
          <w:highlight w:val="none"/>
        </w:rPr>
        <w:t>管理</w:t>
      </w:r>
    </w:p>
    <w:p w14:paraId="5B17C558">
      <w:pPr>
        <w:autoSpaceDE w:val="0"/>
        <w:autoSpaceDN w:val="0"/>
        <w:spacing w:line="240" w:lineRule="auto"/>
        <w:ind w:firstLine="420" w:firstLineChars="200"/>
        <w:jc w:val="left"/>
        <w:rPr>
          <w:rFonts w:hint="eastAsia" w:ascii="黑体" w:hAnsi="ºÚÌå" w:eastAsia="黑体" w:cs="黑体"/>
          <w:color w:val="auto"/>
          <w:szCs w:val="21"/>
          <w:highlight w:val="none"/>
        </w:rPr>
      </w:pPr>
      <w:r>
        <w:rPr>
          <w:rFonts w:hint="eastAsia" w:ascii="宋体" w:hAnsi="宋体" w:cs="宋体"/>
          <w:color w:val="auto"/>
          <w:kern w:val="0"/>
          <w:highlight w:val="none"/>
          <w:lang w:val="en-US" w:eastAsia="zh-CN"/>
        </w:rPr>
        <w:t>按DB45/T 1798的规定执行。</w:t>
      </w:r>
    </w:p>
    <w:p w14:paraId="2092F81A">
      <w:pPr>
        <w:pStyle w:val="162"/>
        <w:numPr>
          <w:ilvl w:val="2"/>
          <w:numId w:val="0"/>
        </w:numPr>
        <w:spacing w:before="156" w:beforeLines="50" w:after="156" w:afterLines="50"/>
        <w:outlineLvl w:val="3"/>
        <w:rPr>
          <w:rFonts w:hint="eastAsia" w:ascii="黑体" w:hAnsi="黑体" w:eastAsia="黑体" w:cs="黑体"/>
          <w:color w:val="auto"/>
          <w:highlight w:val="none"/>
        </w:rPr>
      </w:pPr>
      <w:r>
        <w:rPr>
          <w:rFonts w:hint="eastAsia" w:ascii="黑体" w:hAnsi="黑体" w:eastAsia="黑体" w:cs="黑体"/>
          <w:color w:val="auto"/>
          <w:highlight w:val="none"/>
        </w:rPr>
        <w:t>9.2.</w:t>
      </w:r>
      <w:r>
        <w:rPr>
          <w:rFonts w:hint="eastAsia" w:ascii="黑体" w:hAnsi="黑体" w:eastAsia="黑体" w:cs="黑体"/>
          <w:color w:val="auto"/>
          <w:highlight w:val="none"/>
          <w:lang w:val="en-US" w:eastAsia="zh-CN"/>
        </w:rPr>
        <w:t>2</w:t>
      </w:r>
      <w:r>
        <w:rPr>
          <w:rFonts w:hint="eastAsia" w:ascii="黑体" w:hAnsi="黑体" w:eastAsia="黑体" w:cs="黑体"/>
          <w:color w:val="auto"/>
          <w:spacing w:val="52"/>
          <w:kern w:val="0"/>
          <w:highlight w:val="none"/>
          <w:fitText w:val="210" w:id="53689576"/>
        </w:rPr>
        <w:t xml:space="preserve"> </w:t>
      </w:r>
      <w:r>
        <w:rPr>
          <w:rFonts w:hint="eastAsia" w:ascii="黑体" w:hAnsi="ºÚÌå" w:eastAsia="黑体" w:cs="黑体"/>
          <w:color w:val="auto"/>
          <w:szCs w:val="21"/>
          <w:highlight w:val="none"/>
        </w:rPr>
        <w:t>整形修剪</w:t>
      </w:r>
    </w:p>
    <w:p w14:paraId="2A6E2BA6">
      <w:pPr>
        <w:pStyle w:val="162"/>
        <w:numPr>
          <w:ilvl w:val="2"/>
          <w:numId w:val="0"/>
        </w:numPr>
        <w:spacing w:before="156" w:beforeLines="50" w:after="156" w:afterLines="50"/>
        <w:outlineLvl w:val="3"/>
        <w:rPr>
          <w:rFonts w:hint="eastAsia" w:ascii="黑体" w:hAnsi="黑体" w:eastAsia="黑体" w:cs="黑体"/>
          <w:color w:val="auto"/>
          <w:highlight w:val="none"/>
        </w:rPr>
      </w:pPr>
      <w:r>
        <w:rPr>
          <w:rFonts w:hint="eastAsia" w:ascii="黑体" w:hAnsi="黑体" w:eastAsia="黑体" w:cs="黑体"/>
          <w:color w:val="auto"/>
          <w:highlight w:val="none"/>
        </w:rPr>
        <w:t>9.2.</w:t>
      </w:r>
      <w:r>
        <w:rPr>
          <w:rFonts w:hint="eastAsia" w:ascii="黑体" w:hAnsi="黑体" w:eastAsia="黑体" w:cs="黑体"/>
          <w:color w:val="auto"/>
          <w:highlight w:val="none"/>
          <w:lang w:val="en-US" w:eastAsia="zh-CN"/>
        </w:rPr>
        <w:t>2.1</w:t>
      </w:r>
      <w:r>
        <w:rPr>
          <w:rFonts w:hint="eastAsia" w:ascii="黑体" w:hAnsi="黑体" w:eastAsia="黑体" w:cs="黑体"/>
          <w:color w:val="auto"/>
          <w:spacing w:val="52"/>
          <w:kern w:val="0"/>
          <w:highlight w:val="none"/>
          <w:fitText w:val="210" w:id="1710771700"/>
        </w:rPr>
        <w:t xml:space="preserve"> </w:t>
      </w:r>
      <w:r>
        <w:rPr>
          <w:rFonts w:hint="eastAsia" w:ascii="黑体" w:hAnsi="黑体" w:eastAsia="黑体" w:cs="黑体"/>
          <w:color w:val="auto"/>
          <w:kern w:val="0"/>
          <w:highlight w:val="none"/>
          <w:lang w:val="en-US" w:eastAsia="zh-CN"/>
        </w:rPr>
        <w:t>幼树</w:t>
      </w:r>
    </w:p>
    <w:p w14:paraId="0F0E8F04">
      <w:pPr>
        <w:autoSpaceDE w:val="0"/>
        <w:autoSpaceDN w:val="0"/>
        <w:spacing w:line="240" w:lineRule="auto"/>
        <w:ind w:firstLine="420" w:firstLineChars="200"/>
        <w:jc w:val="left"/>
        <w:rPr>
          <w:rFonts w:hint="eastAsia"/>
          <w:color w:val="auto"/>
          <w:highlight w:val="none"/>
        </w:rPr>
      </w:pPr>
      <w:r>
        <w:rPr>
          <w:rFonts w:hint="eastAsia" w:ascii="宋体" w:hAnsi="宋体" w:cs="宋体"/>
          <w:kern w:val="0"/>
          <w:highlight w:val="none"/>
        </w:rPr>
        <w:t>按DB45/T 1798的规定执行。</w:t>
      </w:r>
    </w:p>
    <w:p w14:paraId="34819495">
      <w:pPr>
        <w:pStyle w:val="162"/>
        <w:numPr>
          <w:ilvl w:val="2"/>
          <w:numId w:val="0"/>
        </w:numPr>
        <w:spacing w:before="156" w:beforeLines="50" w:after="156" w:afterLines="50"/>
        <w:outlineLvl w:val="3"/>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9.2.</w:t>
      </w:r>
      <w:r>
        <w:rPr>
          <w:rFonts w:hint="eastAsia" w:ascii="黑体" w:hAnsi="黑体" w:eastAsia="黑体" w:cs="黑体"/>
          <w:color w:val="auto"/>
          <w:highlight w:val="none"/>
          <w:lang w:val="en-US" w:eastAsia="zh-CN"/>
        </w:rPr>
        <w:t>2.2</w:t>
      </w:r>
      <w:r>
        <w:rPr>
          <w:rFonts w:hint="eastAsia" w:ascii="黑体" w:hAnsi="黑体" w:eastAsia="黑体" w:cs="黑体"/>
          <w:color w:val="auto"/>
          <w:spacing w:val="52"/>
          <w:kern w:val="0"/>
          <w:highlight w:val="none"/>
          <w:fitText w:val="210" w:id="1590624642"/>
        </w:rPr>
        <w:t xml:space="preserve"> </w:t>
      </w:r>
      <w:r>
        <w:rPr>
          <w:rFonts w:hint="eastAsia" w:ascii="黑体" w:hAnsi="黑体" w:eastAsia="黑体" w:cs="黑体"/>
          <w:color w:val="auto"/>
          <w:kern w:val="0"/>
          <w:highlight w:val="none"/>
          <w:lang w:val="en-US" w:eastAsia="zh-CN"/>
        </w:rPr>
        <w:t>结果树</w:t>
      </w:r>
    </w:p>
    <w:p w14:paraId="3BB3F8E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rPr>
        <w:t>每条结果母枝上，选留</w:t>
      </w:r>
      <w:r>
        <w:rPr>
          <w:rFonts w:hint="eastAsia" w:ascii="宋体" w:hAnsi="宋体" w:cs="宋体"/>
          <w:szCs w:val="24"/>
          <w:highlight w:val="none"/>
          <w:lang w:val="en-US" w:eastAsia="zh-CN"/>
        </w:rPr>
        <w:t>1</w:t>
      </w:r>
      <w:r>
        <w:rPr>
          <w:rFonts w:hint="eastAsia" w:ascii="宋体" w:hAnsi="宋体" w:eastAsia="宋体" w:cs="宋体"/>
          <w:szCs w:val="24"/>
          <w:highlight w:val="none"/>
        </w:rPr>
        <w:t>～2条结果枝和</w:t>
      </w:r>
      <w:r>
        <w:rPr>
          <w:rFonts w:hint="eastAsia" w:ascii="宋体" w:hAnsi="宋体" w:cs="宋体"/>
          <w:szCs w:val="24"/>
          <w:highlight w:val="none"/>
          <w:lang w:val="en-US" w:eastAsia="zh-CN"/>
        </w:rPr>
        <w:t>1</w:t>
      </w:r>
      <w:r>
        <w:rPr>
          <w:rFonts w:hint="eastAsia" w:ascii="宋体" w:hAnsi="宋体" w:eastAsia="宋体" w:cs="宋体"/>
          <w:szCs w:val="24"/>
          <w:highlight w:val="none"/>
        </w:rPr>
        <w:t>条营养枝，每667</w:t>
      </w:r>
      <w:r>
        <w:rPr>
          <w:rFonts w:hint="eastAsia" w:ascii="宋体" w:hAnsi="宋体" w:cs="宋体"/>
          <w:szCs w:val="24"/>
          <w:highlight w:val="none"/>
          <w:lang w:val="en-US" w:eastAsia="zh-CN"/>
        </w:rPr>
        <w:t>m</w:t>
      </w:r>
      <w:r>
        <w:rPr>
          <w:rFonts w:hint="eastAsia" w:ascii="宋体" w:hAnsi="宋体" w:cs="宋体"/>
          <w:szCs w:val="24"/>
          <w:highlight w:val="none"/>
          <w:vertAlign w:val="superscript"/>
          <w:lang w:val="en-US" w:eastAsia="zh-CN"/>
        </w:rPr>
        <w:t>2</w:t>
      </w:r>
      <w:r>
        <w:rPr>
          <w:rFonts w:hint="eastAsia" w:ascii="宋体" w:hAnsi="宋体" w:eastAsia="宋体" w:cs="宋体"/>
          <w:szCs w:val="24"/>
          <w:highlight w:val="none"/>
        </w:rPr>
        <w:t>留结果枝</w:t>
      </w:r>
      <w:r>
        <w:rPr>
          <w:rFonts w:hint="eastAsia" w:ascii="宋体" w:hAnsi="宋体" w:cs="宋体"/>
          <w:szCs w:val="24"/>
          <w:highlight w:val="none"/>
          <w:lang w:val="en-US" w:eastAsia="zh-CN"/>
        </w:rPr>
        <w:t>200</w:t>
      </w:r>
      <w:r>
        <w:rPr>
          <w:rFonts w:hint="eastAsia" w:ascii="宋体" w:hAnsi="宋体" w:eastAsia="宋体" w:cs="宋体"/>
          <w:szCs w:val="24"/>
          <w:highlight w:val="none"/>
        </w:rPr>
        <w:t>0～</w:t>
      </w:r>
      <w:r>
        <w:rPr>
          <w:rFonts w:hint="eastAsia" w:ascii="宋体" w:hAnsi="宋体" w:cs="宋体"/>
          <w:szCs w:val="24"/>
          <w:highlight w:val="none"/>
          <w:lang w:val="en-US" w:eastAsia="zh-CN"/>
        </w:rPr>
        <w:t>25</w:t>
      </w:r>
      <w:r>
        <w:rPr>
          <w:rFonts w:hint="eastAsia" w:ascii="宋体" w:hAnsi="宋体" w:eastAsia="宋体" w:cs="宋体"/>
          <w:szCs w:val="24"/>
          <w:highlight w:val="none"/>
        </w:rPr>
        <w:t>00条,其余的萌发枝全部去除。每条结果枝留2穗果，在末穗以上留4～6片叶摘心，营养枝留7～9叶片摘心。结果枝和营养枝除顶部副梢留2叶摘心外，其余副梢全部去除。及时除去枝梢上所有卷须。</w:t>
      </w:r>
    </w:p>
    <w:p w14:paraId="2CFD9F75">
      <w:pPr>
        <w:pStyle w:val="162"/>
        <w:numPr>
          <w:ilvl w:val="2"/>
          <w:numId w:val="0"/>
        </w:numPr>
        <w:spacing w:before="156" w:beforeLines="50" w:after="156" w:afterLines="50"/>
        <w:outlineLvl w:val="3"/>
        <w:rPr>
          <w:rFonts w:hint="eastAsia" w:ascii="黑体" w:hAnsi="黑体" w:eastAsia="黑体" w:cs="黑体"/>
          <w:color w:val="auto"/>
          <w:highlight w:val="none"/>
        </w:rPr>
      </w:pPr>
      <w:r>
        <w:rPr>
          <w:rFonts w:hint="eastAsia" w:ascii="黑体" w:hAnsi="黑体" w:eastAsia="黑体" w:cs="黑体"/>
          <w:color w:val="auto"/>
          <w:highlight w:val="none"/>
        </w:rPr>
        <w:t>9.2.</w:t>
      </w:r>
      <w:r>
        <w:rPr>
          <w:rFonts w:hint="eastAsia" w:ascii="黑体" w:hAnsi="黑体" w:eastAsia="黑体" w:cs="黑体"/>
          <w:color w:val="auto"/>
          <w:highlight w:val="none"/>
          <w:lang w:val="en-US" w:eastAsia="zh-CN"/>
        </w:rPr>
        <w:t>3</w:t>
      </w:r>
      <w:r>
        <w:rPr>
          <w:rFonts w:hint="eastAsia" w:ascii="黑体" w:hAnsi="黑体" w:eastAsia="黑体" w:cs="黑体"/>
          <w:color w:val="auto"/>
          <w:spacing w:val="0"/>
          <w:kern w:val="0"/>
          <w:highlight w:val="none"/>
          <w:fitText w:val="210" w:id="501507863"/>
        </w:rPr>
        <w:t xml:space="preserve">  </w:t>
      </w:r>
      <w:r>
        <w:rPr>
          <w:rFonts w:hint="eastAsia" w:ascii="黑体" w:hAnsi="黑体" w:eastAsia="黑体" w:cs="黑体"/>
          <w:color w:val="auto"/>
          <w:highlight w:val="none"/>
        </w:rPr>
        <w:t>花果管理</w:t>
      </w:r>
    </w:p>
    <w:p w14:paraId="24648BF7">
      <w:pPr>
        <w:autoSpaceDE w:val="0"/>
        <w:autoSpaceDN w:val="0"/>
        <w:spacing w:before="156" w:beforeLines="50" w:after="156" w:afterLines="50" w:line="240" w:lineRule="auto"/>
        <w:ind w:firstLine="420" w:firstLineChars="200"/>
        <w:jc w:val="left"/>
        <w:outlineLvl w:val="1"/>
        <w:rPr>
          <w:rFonts w:hint="eastAsia" w:ascii="宋体" w:hAnsi="宋体" w:eastAsia="宋体" w:cs="宋体"/>
          <w:color w:val="auto"/>
          <w:kern w:val="0"/>
          <w:highlight w:val="none"/>
        </w:rPr>
      </w:pPr>
      <w:r>
        <w:rPr>
          <w:rFonts w:hint="eastAsia" w:ascii="宋体" w:hAnsi="宋体" w:eastAsia="宋体" w:cs="宋体"/>
          <w:color w:val="auto"/>
          <w:highlight w:val="none"/>
        </w:rPr>
        <w:t>在结果枝花序显露后，根据结果枝的强弱，健壮枝留2</w:t>
      </w:r>
      <w:r>
        <w:rPr>
          <w:rFonts w:hint="eastAsia" w:ascii="宋体" w:hAnsi="宋体" w:eastAsia="宋体" w:cs="宋体"/>
          <w:color w:val="auto"/>
          <w:kern w:val="0"/>
          <w:highlight w:val="none"/>
        </w:rPr>
        <w:t>～3</w:t>
      </w:r>
      <w:r>
        <w:rPr>
          <w:rFonts w:hint="eastAsia" w:ascii="宋体" w:hAnsi="宋体" w:eastAsia="宋体" w:cs="宋体"/>
          <w:color w:val="auto"/>
          <w:highlight w:val="none"/>
        </w:rPr>
        <w:t>个花序，中庸枝宜留1～2个花序，弱枝留1个或不留花序，保留健壮完整花序，去除发育不全的花序，留下的花序要及时去除副穗、小穗、穗尖。</w:t>
      </w:r>
      <w:r>
        <w:rPr>
          <w:rFonts w:hint="eastAsia" w:ascii="宋体" w:hAnsi="宋体" w:eastAsia="宋体" w:cs="宋体"/>
          <w:color w:val="auto"/>
          <w:highlight w:val="none"/>
          <w:lang w:eastAsia="zh-CN"/>
        </w:rPr>
        <w:t>座果</w:t>
      </w:r>
      <w:r>
        <w:rPr>
          <w:rFonts w:hint="eastAsia" w:ascii="宋体" w:hAnsi="宋体" w:eastAsia="宋体" w:cs="宋体"/>
          <w:color w:val="auto"/>
          <w:highlight w:val="none"/>
        </w:rPr>
        <w:t>后10d～20d时进行疏果，先把畸形果、伤病果及小果粒疏去，再疏去过密果粒。</w:t>
      </w:r>
      <w:r>
        <w:rPr>
          <w:rFonts w:hint="eastAsia" w:ascii="宋体" w:hAnsi="宋体" w:eastAsia="宋体" w:cs="宋体"/>
          <w:highlight w:val="none"/>
        </w:rPr>
        <w:t>每667m</w:t>
      </w:r>
      <w:r>
        <w:rPr>
          <w:rFonts w:hint="eastAsia" w:ascii="宋体" w:hAnsi="宋体" w:eastAsia="宋体" w:cs="宋体"/>
          <w:highlight w:val="none"/>
          <w:vertAlign w:val="superscript"/>
        </w:rPr>
        <w:t>2</w:t>
      </w:r>
      <w:r>
        <w:rPr>
          <w:rFonts w:hint="eastAsia" w:ascii="宋体" w:hAnsi="宋体" w:eastAsia="宋体" w:cs="宋体"/>
          <w:highlight w:val="none"/>
        </w:rPr>
        <w:t>产量控制在</w:t>
      </w:r>
      <w:r>
        <w:rPr>
          <w:rFonts w:hint="eastAsia" w:ascii="宋体" w:hAnsi="宋体" w:eastAsia="宋体" w:cs="宋体"/>
          <w:highlight w:val="none"/>
          <w:lang w:val="en-US" w:eastAsia="zh-CN"/>
        </w:rPr>
        <w:t>750</w:t>
      </w:r>
      <w:r>
        <w:rPr>
          <w:rFonts w:hint="eastAsia" w:ascii="宋体" w:hAnsi="宋体" w:eastAsia="宋体" w:cs="宋体"/>
          <w:highlight w:val="none"/>
        </w:rPr>
        <w:t>kg～1</w:t>
      </w:r>
      <w:r>
        <w:rPr>
          <w:rFonts w:hint="eastAsia" w:ascii="宋体" w:hAnsi="宋体" w:eastAsia="宋体" w:cs="宋体"/>
          <w:highlight w:val="none"/>
          <w:lang w:val="en-US" w:eastAsia="zh-CN"/>
        </w:rPr>
        <w:t>0</w:t>
      </w:r>
      <w:r>
        <w:rPr>
          <w:rFonts w:hint="eastAsia" w:ascii="宋体" w:hAnsi="宋体" w:eastAsia="宋体" w:cs="宋体"/>
          <w:highlight w:val="none"/>
        </w:rPr>
        <w:t>00</w:t>
      </w:r>
      <w:r>
        <w:rPr>
          <w:rFonts w:hint="eastAsia" w:ascii="宋体" w:hAnsi="宋体" w:eastAsia="宋体" w:cs="宋体"/>
          <w:spacing w:val="0"/>
          <w:w w:val="15"/>
          <w:kern w:val="0"/>
          <w:highlight w:val="none"/>
          <w:fitText w:val="63" w:id="2018729123"/>
        </w:rPr>
        <w:t xml:space="preserve">　 </w:t>
      </w:r>
      <w:r>
        <w:rPr>
          <w:rFonts w:hint="eastAsia" w:ascii="宋体" w:hAnsi="宋体" w:eastAsia="宋体" w:cs="宋体"/>
          <w:spacing w:val="-7"/>
          <w:w w:val="15"/>
          <w:kern w:val="0"/>
          <w:highlight w:val="none"/>
          <w:fitText w:val="63" w:id="2018729123"/>
        </w:rPr>
        <w:t>　</w:t>
      </w:r>
      <w:r>
        <w:rPr>
          <w:rFonts w:hint="eastAsia" w:ascii="宋体" w:hAnsi="宋体" w:eastAsia="宋体" w:cs="宋体"/>
          <w:highlight w:val="none"/>
        </w:rPr>
        <w:t>kg之间为宜。</w:t>
      </w:r>
    </w:p>
    <w:p w14:paraId="091AD0B3">
      <w:pPr>
        <w:pStyle w:val="104"/>
        <w:spacing w:before="312" w:after="312"/>
        <w:rPr>
          <w:rFonts w:hint="eastAsia"/>
          <w:color w:val="auto"/>
          <w:highlight w:val="none"/>
        </w:rPr>
      </w:pPr>
      <w:r>
        <w:rPr>
          <w:rFonts w:hint="eastAsia"/>
          <w:color w:val="auto"/>
          <w:highlight w:val="none"/>
          <w:lang w:eastAsia="zh-CN"/>
        </w:rPr>
        <w:t>主要</w:t>
      </w:r>
      <w:r>
        <w:rPr>
          <w:rFonts w:hint="eastAsia"/>
          <w:color w:val="auto"/>
          <w:highlight w:val="none"/>
        </w:rPr>
        <w:t>病虫害防治</w:t>
      </w:r>
    </w:p>
    <w:p w14:paraId="045F10B9">
      <w:pPr>
        <w:pStyle w:val="162"/>
        <w:spacing w:before="156" w:beforeLines="50" w:after="156" w:afterLines="50"/>
        <w:outlineLvl w:val="1"/>
        <w:rPr>
          <w:rFonts w:hint="eastAsia" w:ascii="黑体" w:hAnsi="ºÚÌå" w:eastAsia="黑体" w:cs="黑体"/>
          <w:color w:val="auto"/>
          <w:szCs w:val="21"/>
          <w:highlight w:val="none"/>
        </w:rPr>
      </w:pPr>
      <w:r>
        <w:rPr>
          <w:rFonts w:hint="eastAsia" w:ascii="黑体" w:hAnsi="ºÚÌå" w:eastAsia="黑体" w:cs="黑体"/>
          <w:color w:val="auto"/>
          <w:szCs w:val="21"/>
          <w:highlight w:val="none"/>
          <w:lang w:eastAsia="zh-CN"/>
        </w:rPr>
        <w:t>主要</w:t>
      </w:r>
      <w:r>
        <w:rPr>
          <w:rFonts w:hint="eastAsia" w:ascii="黑体" w:hAnsi="ºÚÌå" w:eastAsia="黑体" w:cs="黑体"/>
          <w:color w:val="auto"/>
          <w:szCs w:val="21"/>
          <w:highlight w:val="none"/>
        </w:rPr>
        <w:t>病虫害</w:t>
      </w:r>
    </w:p>
    <w:p w14:paraId="3894FF2F">
      <w:pPr>
        <w:autoSpaceDE w:val="0"/>
        <w:autoSpaceDN w:val="0"/>
        <w:spacing w:before="156" w:beforeLines="50" w:after="156" w:afterLines="50" w:line="240" w:lineRule="auto"/>
        <w:jc w:val="left"/>
        <w:outlineLvl w:val="2"/>
        <w:rPr>
          <w:rFonts w:hint="eastAsia" w:ascii="黑体" w:hAnsi="ºÚÌå" w:eastAsia="黑体" w:cs="黑体"/>
          <w:color w:val="auto"/>
          <w:kern w:val="0"/>
          <w:highlight w:val="none"/>
        </w:rPr>
      </w:pPr>
      <w:r>
        <w:rPr>
          <w:rFonts w:hint="eastAsia" w:ascii="黑体" w:hAnsi="ºÚÌå" w:eastAsia="黑体" w:cs="黑体"/>
          <w:color w:val="auto"/>
          <w:kern w:val="0"/>
          <w:highlight w:val="none"/>
        </w:rPr>
        <w:t>10.1.1</w:t>
      </w:r>
      <w:r>
        <w:rPr>
          <w:rFonts w:hint="eastAsia" w:ascii="黑体" w:hAnsi="ºÚÌå" w:eastAsia="黑体" w:cs="黑体"/>
          <w:color w:val="auto"/>
          <w:kern w:val="0"/>
          <w:highlight w:val="none"/>
          <w:lang w:val="en-US" w:eastAsia="zh-CN"/>
        </w:rPr>
        <w:t xml:space="preserve">  </w:t>
      </w:r>
      <w:r>
        <w:rPr>
          <w:rFonts w:hint="eastAsia" w:ascii="黑体" w:hAnsi="ºÚÌå" w:eastAsia="黑体" w:cs="黑体"/>
          <w:color w:val="auto"/>
          <w:kern w:val="0"/>
          <w:highlight w:val="none"/>
        </w:rPr>
        <w:t>茶树</w:t>
      </w:r>
      <w:r>
        <w:rPr>
          <w:rFonts w:hint="eastAsia" w:ascii="黑体" w:hAnsi="ºÚÌå" w:eastAsia="黑体" w:cs="黑体"/>
          <w:color w:val="auto"/>
          <w:kern w:val="0"/>
          <w:highlight w:val="none"/>
          <w:lang w:eastAsia="zh-CN"/>
        </w:rPr>
        <w:t>主要</w:t>
      </w:r>
      <w:r>
        <w:rPr>
          <w:rFonts w:hint="eastAsia" w:ascii="黑体" w:hAnsi="ºÚÌå" w:eastAsia="黑体" w:cs="黑体"/>
          <w:color w:val="auto"/>
          <w:kern w:val="0"/>
          <w:highlight w:val="none"/>
        </w:rPr>
        <w:t>病虫害</w:t>
      </w:r>
    </w:p>
    <w:p w14:paraId="3063A021">
      <w:pPr>
        <w:autoSpaceDE w:val="0"/>
        <w:autoSpaceDN w:val="0"/>
        <w:spacing w:line="240" w:lineRule="auto"/>
        <w:ind w:firstLine="420" w:firstLineChars="200"/>
        <w:jc w:val="left"/>
        <w:rPr>
          <w:rFonts w:hint="eastAsia" w:ascii="宋体" w:hAnsi="宋体" w:eastAsia="宋体" w:cs="黑体"/>
          <w:color w:val="auto"/>
          <w:kern w:val="0"/>
          <w:highlight w:val="none"/>
          <w:lang w:val="en-US" w:eastAsia="zh-CN"/>
        </w:rPr>
      </w:pPr>
      <w:r>
        <w:rPr>
          <w:rFonts w:ascii="宋体" w:hAnsi="宋体" w:cs="黑体"/>
          <w:color w:val="auto"/>
          <w:kern w:val="0"/>
          <w:highlight w:val="none"/>
        </w:rPr>
        <w:t>主要病</w:t>
      </w:r>
      <w:r>
        <w:rPr>
          <w:rFonts w:hint="eastAsia" w:ascii="宋体" w:hAnsi="宋体" w:cs="黑体"/>
          <w:color w:val="auto"/>
          <w:kern w:val="0"/>
          <w:highlight w:val="none"/>
        </w:rPr>
        <w:t>虫</w:t>
      </w:r>
      <w:r>
        <w:rPr>
          <w:rFonts w:ascii="宋体" w:hAnsi="宋体" w:cs="黑体"/>
          <w:color w:val="auto"/>
          <w:kern w:val="0"/>
          <w:highlight w:val="none"/>
        </w:rPr>
        <w:t>害种类有</w:t>
      </w:r>
      <w:r>
        <w:rPr>
          <w:rFonts w:hint="eastAsia" w:ascii="宋体" w:hAnsi="宋体" w:cs="黑体"/>
          <w:color w:val="auto"/>
          <w:kern w:val="0"/>
          <w:highlight w:val="none"/>
        </w:rPr>
        <w:t>茶炭疽</w:t>
      </w:r>
      <w:r>
        <w:rPr>
          <w:rFonts w:ascii="宋体" w:hAnsi="宋体" w:cs="黑体"/>
          <w:color w:val="auto"/>
          <w:kern w:val="0"/>
          <w:highlight w:val="none"/>
        </w:rPr>
        <w:t>病、</w:t>
      </w:r>
      <w:r>
        <w:rPr>
          <w:rFonts w:hint="eastAsia" w:ascii="宋体" w:hAnsi="宋体" w:cs="黑体"/>
          <w:color w:val="auto"/>
          <w:kern w:val="0"/>
          <w:highlight w:val="none"/>
        </w:rPr>
        <w:t>茶轮斑</w:t>
      </w:r>
      <w:r>
        <w:rPr>
          <w:rFonts w:ascii="宋体" w:hAnsi="宋体" w:cs="黑体"/>
          <w:color w:val="auto"/>
          <w:kern w:val="0"/>
          <w:highlight w:val="none"/>
        </w:rPr>
        <w:t>病</w:t>
      </w:r>
      <w:r>
        <w:rPr>
          <w:rFonts w:hint="eastAsia" w:ascii="宋体" w:hAnsi="宋体" w:cs="黑体"/>
          <w:color w:val="auto"/>
          <w:kern w:val="0"/>
          <w:highlight w:val="none"/>
        </w:rPr>
        <w:t>、</w:t>
      </w:r>
      <w:r>
        <w:rPr>
          <w:rFonts w:hint="eastAsia" w:hAnsi="宋体" w:cs="黑体"/>
          <w:color w:val="auto"/>
          <w:kern w:val="0"/>
          <w:highlight w:val="none"/>
        </w:rPr>
        <w:t>茶煤病、茶饼病、</w:t>
      </w:r>
      <w:r>
        <w:rPr>
          <w:rFonts w:hint="eastAsia" w:ascii="宋体" w:hAnsi="宋体" w:cs="黑体"/>
          <w:color w:val="auto"/>
          <w:kern w:val="0"/>
          <w:highlight w:val="none"/>
        </w:rPr>
        <w:t>茶小绿</w:t>
      </w:r>
      <w:r>
        <w:rPr>
          <w:rFonts w:ascii="宋体" w:hAnsi="宋体" w:cs="黑体"/>
          <w:color w:val="auto"/>
          <w:kern w:val="0"/>
          <w:highlight w:val="none"/>
        </w:rPr>
        <w:t>叶蝉、</w:t>
      </w:r>
      <w:r>
        <w:rPr>
          <w:rFonts w:hint="eastAsia" w:ascii="宋体" w:hAnsi="宋体" w:cs="黑体"/>
          <w:color w:val="auto"/>
          <w:kern w:val="0"/>
          <w:highlight w:val="none"/>
        </w:rPr>
        <w:t>茶毛</w:t>
      </w:r>
      <w:r>
        <w:rPr>
          <w:rFonts w:ascii="宋体" w:hAnsi="宋体" w:cs="黑体"/>
          <w:color w:val="auto"/>
          <w:kern w:val="0"/>
          <w:highlight w:val="none"/>
        </w:rPr>
        <w:t>虫、</w:t>
      </w:r>
      <w:r>
        <w:rPr>
          <w:rFonts w:hint="eastAsia"/>
          <w:color w:val="auto"/>
          <w:highlight w:val="none"/>
        </w:rPr>
        <w:t>茶橙瘿螨、茶尺蠖</w:t>
      </w:r>
      <w:r>
        <w:rPr>
          <w:rFonts w:ascii="宋体" w:hAnsi="宋体" w:cs="黑体"/>
          <w:color w:val="auto"/>
          <w:kern w:val="0"/>
          <w:highlight w:val="none"/>
        </w:rPr>
        <w:t>等</w:t>
      </w:r>
      <w:r>
        <w:rPr>
          <w:rFonts w:hint="eastAsia" w:ascii="宋体" w:hAnsi="宋体" w:cs="黑体"/>
          <w:color w:val="auto"/>
          <w:kern w:val="0"/>
          <w:highlight w:val="none"/>
          <w:lang w:eastAsia="zh-CN"/>
        </w:rPr>
        <w:t>。</w:t>
      </w:r>
    </w:p>
    <w:p w14:paraId="157441F4">
      <w:pPr>
        <w:autoSpaceDE w:val="0"/>
        <w:autoSpaceDN w:val="0"/>
        <w:spacing w:before="156" w:beforeLines="50" w:after="156" w:afterLines="50" w:line="240" w:lineRule="auto"/>
        <w:jc w:val="left"/>
        <w:outlineLvl w:val="2"/>
        <w:rPr>
          <w:rFonts w:hint="eastAsia" w:ascii="黑体" w:hAnsi="ºÚÌå" w:eastAsia="黑体" w:cs="黑体"/>
          <w:color w:val="auto"/>
          <w:kern w:val="0"/>
          <w:highlight w:val="none"/>
        </w:rPr>
      </w:pPr>
      <w:r>
        <w:rPr>
          <w:rFonts w:hint="eastAsia" w:ascii="黑体" w:hAnsi="ºÚÌå" w:eastAsia="黑体" w:cs="黑体"/>
          <w:color w:val="auto"/>
          <w:kern w:val="0"/>
          <w:highlight w:val="none"/>
        </w:rPr>
        <w:t>10.1.2</w:t>
      </w:r>
      <w:r>
        <w:rPr>
          <w:rFonts w:hint="eastAsia" w:ascii="黑体" w:hAnsi="ºÚÌå" w:eastAsia="黑体" w:cs="黑体"/>
          <w:color w:val="auto"/>
          <w:kern w:val="0"/>
          <w:highlight w:val="none"/>
          <w:lang w:val="en-US" w:eastAsia="zh-CN"/>
        </w:rPr>
        <w:t xml:space="preserve">  葡萄</w:t>
      </w:r>
      <w:r>
        <w:rPr>
          <w:rFonts w:hint="eastAsia" w:ascii="黑体" w:hAnsi="ºÚÌå" w:eastAsia="黑体" w:cs="黑体"/>
          <w:color w:val="auto"/>
          <w:kern w:val="0"/>
          <w:highlight w:val="none"/>
        </w:rPr>
        <w:t>病</w:t>
      </w:r>
      <w:r>
        <w:rPr>
          <w:rFonts w:hint="eastAsia" w:ascii="黑体" w:hAnsi="ºÚÌå" w:eastAsia="黑体" w:cs="黑体"/>
          <w:color w:val="auto"/>
          <w:kern w:val="0"/>
          <w:highlight w:val="none"/>
          <w:lang w:eastAsia="zh-CN"/>
        </w:rPr>
        <w:t>主要</w:t>
      </w:r>
      <w:r>
        <w:rPr>
          <w:rFonts w:hint="eastAsia" w:ascii="黑体" w:hAnsi="ºÚÌå" w:eastAsia="黑体" w:cs="黑体"/>
          <w:color w:val="auto"/>
          <w:kern w:val="0"/>
          <w:highlight w:val="none"/>
        </w:rPr>
        <w:t>病虫害</w:t>
      </w:r>
    </w:p>
    <w:p w14:paraId="478BB46B">
      <w:pPr>
        <w:autoSpaceDE w:val="0"/>
        <w:autoSpaceDN w:val="0"/>
        <w:spacing w:line="240" w:lineRule="auto"/>
        <w:ind w:firstLine="420" w:firstLineChars="200"/>
        <w:jc w:val="left"/>
        <w:rPr>
          <w:rFonts w:hint="default" w:ascii="宋体" w:hAnsi="宋体" w:eastAsia="宋体" w:cs="黑体"/>
          <w:color w:val="auto"/>
          <w:kern w:val="0"/>
          <w:highlight w:val="none"/>
          <w:lang w:val="en-US" w:eastAsia="zh-CN"/>
        </w:rPr>
      </w:pPr>
      <w:r>
        <w:rPr>
          <w:rFonts w:ascii="宋体" w:hAnsi="宋体" w:cs="黑体"/>
          <w:color w:val="auto"/>
          <w:kern w:val="0"/>
          <w:highlight w:val="none"/>
        </w:rPr>
        <w:t>主要病</w:t>
      </w:r>
      <w:r>
        <w:rPr>
          <w:rFonts w:hint="eastAsia" w:ascii="宋体" w:hAnsi="宋体" w:cs="黑体"/>
          <w:color w:val="auto"/>
          <w:kern w:val="0"/>
          <w:highlight w:val="none"/>
        </w:rPr>
        <w:t>虫</w:t>
      </w:r>
      <w:r>
        <w:rPr>
          <w:rFonts w:ascii="宋体" w:hAnsi="宋体" w:cs="黑体"/>
          <w:color w:val="auto"/>
          <w:kern w:val="0"/>
          <w:highlight w:val="none"/>
        </w:rPr>
        <w:t>害种类有霜霉病、</w:t>
      </w:r>
      <w:r>
        <w:rPr>
          <w:rFonts w:hint="eastAsia" w:ascii="宋体" w:hAnsi="宋体" w:cs="黑体"/>
          <w:color w:val="auto"/>
          <w:kern w:val="0"/>
          <w:highlight w:val="none"/>
        </w:rPr>
        <w:t>灰霉病、炭疽病</w:t>
      </w:r>
      <w:r>
        <w:rPr>
          <w:rFonts w:hint="eastAsia" w:ascii="宋体" w:hAnsi="宋体" w:cs="黑体"/>
          <w:color w:val="auto"/>
          <w:kern w:val="0"/>
          <w:highlight w:val="none"/>
          <w:lang w:eastAsia="zh-CN"/>
        </w:rPr>
        <w:t>、</w:t>
      </w:r>
      <w:r>
        <w:rPr>
          <w:rFonts w:hint="eastAsia" w:ascii="宋体" w:hAnsi="宋体" w:cs="黑体"/>
          <w:color w:val="auto"/>
          <w:kern w:val="0"/>
          <w:highlight w:val="none"/>
        </w:rPr>
        <w:t>白</w:t>
      </w:r>
      <w:r>
        <w:rPr>
          <w:rFonts w:hint="eastAsia" w:ascii="宋体" w:hAnsi="宋体" w:cs="黑体"/>
          <w:color w:val="auto"/>
          <w:kern w:val="0"/>
          <w:highlight w:val="none"/>
          <w:lang w:val="en-US" w:eastAsia="zh-CN"/>
        </w:rPr>
        <w:t>粉病、蛾类、</w:t>
      </w:r>
      <w:r>
        <w:rPr>
          <w:rFonts w:hint="eastAsia" w:ascii="宋体" w:hAnsi="宋体" w:cs="黑体"/>
          <w:color w:val="auto"/>
          <w:kern w:val="0"/>
          <w:highlight w:val="none"/>
        </w:rPr>
        <w:t>叶蝉、金龟子</w:t>
      </w:r>
      <w:r>
        <w:rPr>
          <w:rFonts w:ascii="宋体" w:hAnsi="宋体" w:cs="黑体"/>
          <w:color w:val="auto"/>
          <w:kern w:val="0"/>
          <w:highlight w:val="none"/>
        </w:rPr>
        <w:t>等</w:t>
      </w:r>
      <w:r>
        <w:rPr>
          <w:rFonts w:hint="eastAsia" w:ascii="宋体" w:hAnsi="宋体" w:cs="黑体"/>
          <w:color w:val="auto"/>
          <w:kern w:val="0"/>
          <w:highlight w:val="none"/>
          <w:lang w:val="en-US" w:eastAsia="zh-CN"/>
        </w:rPr>
        <w:t>。</w:t>
      </w:r>
    </w:p>
    <w:p w14:paraId="254940EB">
      <w:pPr>
        <w:pStyle w:val="162"/>
        <w:spacing w:before="156" w:beforeLines="50" w:after="156" w:afterLines="50"/>
        <w:outlineLvl w:val="1"/>
        <w:rPr>
          <w:rFonts w:hint="default" w:ascii="黑体" w:hAnsi="ºÚÌå" w:eastAsia="黑体" w:cs="黑体"/>
          <w:color w:val="auto"/>
          <w:szCs w:val="21"/>
          <w:highlight w:val="none"/>
          <w:lang w:val="en-US" w:eastAsia="zh-CN"/>
        </w:rPr>
      </w:pPr>
      <w:r>
        <w:rPr>
          <w:rFonts w:hint="eastAsia" w:ascii="黑体" w:hAnsi="ºÚÌå" w:eastAsia="黑体" w:cs="黑体"/>
          <w:color w:val="auto"/>
          <w:szCs w:val="21"/>
          <w:highlight w:val="none"/>
          <w:lang w:val="en-US" w:eastAsia="zh-CN"/>
        </w:rPr>
        <w:t>防治原则</w:t>
      </w:r>
    </w:p>
    <w:p w14:paraId="1A59DB84">
      <w:pPr>
        <w:autoSpaceDE w:val="0"/>
        <w:autoSpaceDN w:val="0"/>
        <w:spacing w:line="240" w:lineRule="auto"/>
        <w:ind w:firstLine="420" w:firstLineChars="200"/>
        <w:jc w:val="left"/>
        <w:rPr>
          <w:rFonts w:ascii="宋体" w:hAnsi="宋体" w:cs="黑体"/>
          <w:color w:val="auto"/>
          <w:kern w:val="0"/>
          <w:highlight w:val="none"/>
        </w:rPr>
      </w:pPr>
      <w:r>
        <w:rPr>
          <w:rFonts w:ascii="宋体" w:hAnsi="宋体" w:cs="黑体"/>
          <w:color w:val="auto"/>
          <w:kern w:val="0"/>
          <w:highlight w:val="none"/>
        </w:rPr>
        <w:t>坚持预防为主、综合防治的原则，优先采用农业防治</w:t>
      </w:r>
      <w:r>
        <w:rPr>
          <w:rFonts w:hint="eastAsia" w:ascii="宋体" w:hAnsi="宋体" w:cs="黑体"/>
          <w:color w:val="auto"/>
          <w:kern w:val="0"/>
          <w:highlight w:val="none"/>
        </w:rPr>
        <w:t>、</w:t>
      </w:r>
      <w:r>
        <w:rPr>
          <w:rFonts w:ascii="宋体" w:hAnsi="宋体" w:cs="黑体"/>
          <w:color w:val="auto"/>
          <w:kern w:val="0"/>
          <w:highlight w:val="none"/>
        </w:rPr>
        <w:t>物理防治、</w:t>
      </w:r>
      <w:r>
        <w:rPr>
          <w:rFonts w:hint="eastAsia" w:ascii="宋体" w:hAnsi="宋体" w:cs="黑体"/>
          <w:color w:val="auto"/>
          <w:kern w:val="0"/>
          <w:highlight w:val="none"/>
        </w:rPr>
        <w:t>生物防治</w:t>
      </w:r>
      <w:r>
        <w:rPr>
          <w:rFonts w:ascii="宋体" w:hAnsi="宋体" w:cs="黑体"/>
          <w:color w:val="auto"/>
          <w:kern w:val="0"/>
          <w:highlight w:val="none"/>
        </w:rPr>
        <w:t>，配合合理使用</w:t>
      </w:r>
      <w:r>
        <w:rPr>
          <w:rFonts w:hint="eastAsia" w:ascii="宋体" w:hAnsi="宋体" w:cs="黑体"/>
          <w:color w:val="auto"/>
          <w:kern w:val="0"/>
          <w:highlight w:val="none"/>
          <w:lang w:eastAsia="zh-CN"/>
        </w:rPr>
        <w:t>化学</w:t>
      </w:r>
      <w:r>
        <w:rPr>
          <w:rFonts w:ascii="宋体" w:hAnsi="宋体" w:cs="黑体"/>
          <w:color w:val="auto"/>
          <w:kern w:val="0"/>
          <w:highlight w:val="none"/>
        </w:rPr>
        <w:t>防治。</w:t>
      </w:r>
    </w:p>
    <w:p w14:paraId="2A3350B5">
      <w:pPr>
        <w:pStyle w:val="162"/>
        <w:spacing w:before="156" w:beforeLines="50" w:after="156" w:afterLines="50"/>
        <w:ind w:left="0" w:leftChars="0" w:firstLine="218" w:firstLineChars="104"/>
        <w:outlineLvl w:val="1"/>
        <w:rPr>
          <w:rFonts w:hint="eastAsia" w:ascii="黑体" w:hAnsi="ºÚÌå" w:eastAsia="黑体" w:cs="黑体"/>
          <w:color w:val="auto"/>
          <w:szCs w:val="21"/>
          <w:highlight w:val="none"/>
          <w:lang w:val="en-US" w:eastAsia="zh-CN"/>
        </w:rPr>
      </w:pPr>
      <w:r>
        <w:rPr>
          <w:rFonts w:hint="eastAsia" w:ascii="黑体" w:hAnsi="ºÚÌå" w:eastAsia="黑体" w:cs="黑体"/>
          <w:color w:val="auto"/>
          <w:szCs w:val="21"/>
          <w:highlight w:val="none"/>
          <w:lang w:val="en-US" w:eastAsia="zh-CN"/>
        </w:rPr>
        <w:t>防治方法</w:t>
      </w:r>
    </w:p>
    <w:p w14:paraId="6CB18E50">
      <w:pPr>
        <w:autoSpaceDE w:val="0"/>
        <w:autoSpaceDN w:val="0"/>
        <w:spacing w:before="156" w:beforeLines="50" w:after="156" w:afterLines="50" w:line="240" w:lineRule="auto"/>
        <w:ind w:firstLine="210" w:firstLineChars="100"/>
        <w:jc w:val="left"/>
        <w:outlineLvl w:val="2"/>
        <w:rPr>
          <w:rFonts w:hint="eastAsia" w:ascii="黑体" w:hAnsi="ºÚÌå" w:eastAsia="黑体" w:cs="黑体"/>
          <w:color w:val="auto"/>
          <w:kern w:val="0"/>
          <w:highlight w:val="none"/>
          <w:lang w:eastAsia="zh-CN"/>
        </w:rPr>
      </w:pPr>
      <w:r>
        <w:rPr>
          <w:rFonts w:hint="eastAsia" w:ascii="黑体" w:hAnsi="ºÚÌå" w:eastAsia="黑体" w:cs="黑体"/>
          <w:color w:val="auto"/>
          <w:kern w:val="0"/>
          <w:highlight w:val="none"/>
        </w:rPr>
        <w:t>10.</w:t>
      </w:r>
      <w:r>
        <w:rPr>
          <w:rFonts w:hint="eastAsia" w:ascii="黑体" w:hAnsi="ºÚÌå" w:eastAsia="黑体" w:cs="黑体"/>
          <w:color w:val="auto"/>
          <w:kern w:val="0"/>
          <w:highlight w:val="none"/>
          <w:lang w:val="en-US" w:eastAsia="zh-CN"/>
        </w:rPr>
        <w:t>3</w:t>
      </w:r>
      <w:r>
        <w:rPr>
          <w:rFonts w:hint="eastAsia" w:ascii="黑体" w:hAnsi="ºÚÌå" w:eastAsia="黑体" w:cs="黑体"/>
          <w:color w:val="auto"/>
          <w:kern w:val="0"/>
          <w:highlight w:val="none"/>
        </w:rPr>
        <w:t>.1　</w:t>
      </w:r>
      <w:r>
        <w:rPr>
          <w:rFonts w:hint="eastAsia" w:ascii="黑体" w:hAnsi="ºÚÌå" w:eastAsia="黑体" w:cs="黑体"/>
          <w:color w:val="auto"/>
          <w:kern w:val="0"/>
          <w:highlight w:val="none"/>
          <w:lang w:eastAsia="zh-CN"/>
        </w:rPr>
        <w:t>农业</w:t>
      </w:r>
      <w:r>
        <w:rPr>
          <w:rFonts w:hint="eastAsia" w:ascii="黑体" w:hAnsi="ºÚÌå" w:eastAsia="黑体" w:cs="黑体"/>
          <w:color w:val="auto"/>
          <w:kern w:val="0"/>
          <w:highlight w:val="none"/>
        </w:rPr>
        <w:t>防</w:t>
      </w:r>
      <w:r>
        <w:rPr>
          <w:rFonts w:hint="eastAsia" w:ascii="黑体" w:hAnsi="ºÚÌå" w:eastAsia="黑体" w:cs="黑体"/>
          <w:color w:val="auto"/>
          <w:kern w:val="0"/>
          <w:highlight w:val="none"/>
          <w:lang w:eastAsia="zh-CN"/>
        </w:rPr>
        <w:t>治</w:t>
      </w:r>
    </w:p>
    <w:p w14:paraId="01F16BB4">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cs="黑体"/>
          <w:color w:val="auto"/>
          <w:kern w:val="0"/>
          <w:highlight w:val="none"/>
          <w:lang w:val="en-US" w:eastAsia="zh-CN"/>
        </w:rPr>
      </w:pPr>
      <w:r>
        <w:rPr>
          <w:rFonts w:hint="eastAsia" w:ascii="宋体" w:hAnsi="宋体" w:cs="宋体"/>
          <w:color w:val="000000"/>
          <w:kern w:val="0"/>
          <w:sz w:val="21"/>
          <w:szCs w:val="21"/>
          <w:highlight w:val="none"/>
          <w:lang w:val="en-US" w:eastAsia="zh-CN" w:bidi="ar"/>
        </w:rPr>
        <w:t>农业防治技术包括以下内容：</w:t>
      </w:r>
    </w:p>
    <w:p w14:paraId="4F212BD9">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sz w:val="21"/>
          <w:szCs w:val="21"/>
          <w:highlight w:val="none"/>
        </w:rPr>
      </w:pPr>
      <w:r>
        <w:rPr>
          <w:rFonts w:hint="eastAsia" w:ascii="宋体" w:hAnsi="宋体" w:cs="宋体"/>
          <w:color w:val="000000"/>
          <w:kern w:val="0"/>
          <w:sz w:val="21"/>
          <w:szCs w:val="21"/>
          <w:highlight w:val="none"/>
          <w:lang w:val="en-US" w:eastAsia="zh-CN" w:bidi="ar"/>
        </w:rPr>
        <w:t>a</w:t>
      </w:r>
      <w:r>
        <w:rPr>
          <w:rFonts w:hint="eastAsia" w:ascii="宋体" w:hAnsi="宋体" w:eastAsia="宋体" w:cs="宋体"/>
          <w:color w:val="000000"/>
          <w:kern w:val="0"/>
          <w:sz w:val="21"/>
          <w:szCs w:val="21"/>
          <w:highlight w:val="none"/>
          <w:lang w:val="en-US" w:eastAsia="zh-CN" w:bidi="ar"/>
        </w:rPr>
        <w:t xml:space="preserve">) </w:t>
      </w:r>
      <w:r>
        <w:rPr>
          <w:rFonts w:hint="eastAsia" w:ascii="宋体" w:hAnsi="宋体" w:cs="黑体"/>
          <w:color w:val="auto"/>
          <w:kern w:val="0"/>
          <w:highlight w:val="none"/>
          <w:lang w:val="en-US" w:eastAsia="zh-CN"/>
        </w:rPr>
        <w:t xml:space="preserve">虫口密度和病害面积在可控范围内，尚不足以危害生产，可通过人工摘除病虫叶来控制病虫害 </w:t>
      </w:r>
      <w:r>
        <w:rPr>
          <w:rFonts w:hint="eastAsia" w:ascii="宋体" w:hAnsi="宋体" w:eastAsia="宋体" w:cs="宋体"/>
          <w:color w:val="000000"/>
          <w:kern w:val="0"/>
          <w:sz w:val="21"/>
          <w:szCs w:val="21"/>
          <w:highlight w:val="none"/>
          <w:lang w:val="en-US" w:eastAsia="zh-CN" w:bidi="ar"/>
        </w:rPr>
        <w:t xml:space="preserve"> </w:t>
      </w:r>
    </w:p>
    <w:p w14:paraId="0AF23C70">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cs="黑体"/>
          <w:color w:val="auto"/>
          <w:kern w:val="0"/>
          <w:highlight w:val="none"/>
          <w:lang w:val="en-US" w:eastAsia="zh-CN"/>
        </w:rPr>
      </w:pPr>
      <w:r>
        <w:rPr>
          <w:rFonts w:hint="eastAsia" w:ascii="宋体" w:hAnsi="宋体" w:cs="黑体"/>
          <w:color w:val="auto"/>
          <w:kern w:val="0"/>
          <w:highlight w:val="none"/>
          <w:lang w:val="en-US" w:eastAsia="zh-CN"/>
        </w:rPr>
        <w:t>扩大；</w:t>
      </w:r>
    </w:p>
    <w:p w14:paraId="4309228D">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cs="黑体"/>
          <w:color w:val="auto"/>
          <w:kern w:val="0"/>
          <w:highlight w:val="none"/>
          <w:lang w:val="en-US" w:eastAsia="zh-CN"/>
        </w:rPr>
      </w:pPr>
      <w:r>
        <w:rPr>
          <w:rFonts w:hint="eastAsia" w:ascii="宋体" w:hAnsi="宋体" w:cs="黑体"/>
          <w:color w:val="auto"/>
          <w:kern w:val="0"/>
          <w:highlight w:val="none"/>
          <w:lang w:val="en-US" w:eastAsia="zh-CN"/>
        </w:rPr>
        <w:t>b) 通过枝叶修剪控制病虫害；</w:t>
      </w:r>
    </w:p>
    <w:p w14:paraId="25E7B97F">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default" w:ascii="宋体" w:hAnsi="宋体" w:cs="黑体"/>
          <w:color w:val="auto"/>
          <w:kern w:val="0"/>
          <w:highlight w:val="none"/>
          <w:lang w:val="en-US" w:eastAsia="zh-CN"/>
        </w:rPr>
      </w:pPr>
      <w:r>
        <w:rPr>
          <w:rFonts w:hint="eastAsia" w:ascii="宋体" w:hAnsi="宋体" w:cs="黑体"/>
          <w:color w:val="auto"/>
          <w:kern w:val="0"/>
          <w:highlight w:val="none"/>
          <w:lang w:val="en-US" w:eastAsia="zh-CN"/>
        </w:rPr>
        <w:t>c) 将休眠期修剪的枝条以及园中病叶、病果等彻底清理，集中进行无害化处理。</w:t>
      </w:r>
    </w:p>
    <w:p w14:paraId="10EE8F02">
      <w:pPr>
        <w:autoSpaceDE w:val="0"/>
        <w:autoSpaceDN w:val="0"/>
        <w:spacing w:before="156" w:beforeLines="50" w:after="156" w:afterLines="50" w:line="240" w:lineRule="auto"/>
        <w:ind w:firstLine="210" w:firstLineChars="100"/>
        <w:jc w:val="left"/>
        <w:outlineLvl w:val="2"/>
        <w:rPr>
          <w:rFonts w:hint="eastAsia" w:ascii="黑体" w:hAnsi="ºÚÌå" w:eastAsia="黑体" w:cs="黑体"/>
          <w:color w:val="auto"/>
          <w:kern w:val="0"/>
          <w:highlight w:val="none"/>
          <w:lang w:eastAsia="zh-CN"/>
        </w:rPr>
      </w:pPr>
      <w:r>
        <w:rPr>
          <w:rFonts w:hint="eastAsia" w:ascii="黑体" w:hAnsi="ºÚÌå" w:eastAsia="黑体" w:cs="黑体"/>
          <w:color w:val="auto"/>
          <w:kern w:val="0"/>
          <w:highlight w:val="none"/>
        </w:rPr>
        <w:t>10.</w:t>
      </w:r>
      <w:r>
        <w:rPr>
          <w:rFonts w:hint="eastAsia" w:ascii="黑体" w:hAnsi="ºÚÌå" w:eastAsia="黑体" w:cs="黑体"/>
          <w:color w:val="auto"/>
          <w:kern w:val="0"/>
          <w:highlight w:val="none"/>
          <w:lang w:val="en-US" w:eastAsia="zh-CN"/>
        </w:rPr>
        <w:t>3</w:t>
      </w:r>
      <w:r>
        <w:rPr>
          <w:rFonts w:hint="eastAsia" w:ascii="黑体" w:hAnsi="ºÚÌå" w:eastAsia="黑体" w:cs="黑体"/>
          <w:color w:val="auto"/>
          <w:kern w:val="0"/>
          <w:highlight w:val="none"/>
        </w:rPr>
        <w:t>.</w:t>
      </w:r>
      <w:r>
        <w:rPr>
          <w:rFonts w:hint="eastAsia" w:ascii="黑体" w:hAnsi="ºÚÌå" w:eastAsia="黑体" w:cs="黑体"/>
          <w:color w:val="auto"/>
          <w:kern w:val="0"/>
          <w:highlight w:val="none"/>
          <w:lang w:val="en-US" w:eastAsia="zh-CN"/>
        </w:rPr>
        <w:t>2</w:t>
      </w:r>
      <w:r>
        <w:rPr>
          <w:rFonts w:hint="eastAsia" w:ascii="黑体" w:hAnsi="ºÚÌå" w:eastAsia="黑体" w:cs="黑体"/>
          <w:color w:val="auto"/>
          <w:spacing w:val="0"/>
          <w:w w:val="40"/>
          <w:kern w:val="0"/>
          <w:highlight w:val="none"/>
          <w:fitText w:val="210" w:id="2030378186"/>
        </w:rPr>
        <w:t>　 　</w:t>
      </w:r>
      <w:r>
        <w:rPr>
          <w:rFonts w:hint="eastAsia" w:ascii="黑体" w:hAnsi="ºÚÌå" w:eastAsia="黑体" w:cs="黑体"/>
          <w:color w:val="auto"/>
          <w:kern w:val="0"/>
          <w:highlight w:val="none"/>
        </w:rPr>
        <w:t>物理防</w:t>
      </w:r>
      <w:r>
        <w:rPr>
          <w:rFonts w:hint="eastAsia" w:ascii="黑体" w:hAnsi="ºÚÌå" w:eastAsia="黑体" w:cs="黑体"/>
          <w:color w:val="auto"/>
          <w:kern w:val="0"/>
          <w:highlight w:val="none"/>
          <w:lang w:eastAsia="zh-CN"/>
        </w:rPr>
        <w:t>治</w:t>
      </w:r>
    </w:p>
    <w:p w14:paraId="073247F7">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物理防治技术包括以下内容：</w:t>
      </w:r>
      <w:r>
        <w:rPr>
          <w:rFonts w:hint="eastAsia" w:ascii="宋体" w:hAnsi="宋体" w:eastAsia="宋体" w:cs="宋体"/>
          <w:color w:val="000000"/>
          <w:kern w:val="0"/>
          <w:sz w:val="21"/>
          <w:szCs w:val="21"/>
          <w:highlight w:val="none"/>
          <w:lang w:val="en-US" w:eastAsia="zh-CN" w:bidi="ar"/>
        </w:rPr>
        <w:t xml:space="preserve"> </w:t>
      </w:r>
    </w:p>
    <w:p w14:paraId="4FC23BC7">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a) 利用害虫的趋性，合理放置天敌友好型色板、天敌友好型杀虫灯、性信息素诱杀害虫；</w:t>
      </w:r>
    </w:p>
    <w:p w14:paraId="4A3C107B">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b) 天敌友好型色板放置密度为20</w:t>
      </w:r>
      <w:r>
        <w:rPr>
          <w:rFonts w:hint="eastAsia" w:ascii="宋体" w:hAnsi="宋体" w:cs="宋体"/>
          <w:color w:val="000000"/>
          <w:kern w:val="0"/>
          <w:sz w:val="21"/>
          <w:szCs w:val="21"/>
          <w:highlight w:val="none"/>
          <w:lang w:val="en-US" w:eastAsia="zh-CN" w:bidi="ar"/>
        </w:rPr>
        <w:t>张</w:t>
      </w:r>
      <w:r>
        <w:rPr>
          <w:rFonts w:hint="eastAsia" w:ascii="宋体" w:hAnsi="宋体" w:eastAsia="宋体" w:cs="宋体"/>
          <w:color w:val="000000"/>
          <w:kern w:val="0"/>
          <w:sz w:val="21"/>
          <w:szCs w:val="21"/>
          <w:highlight w:val="none"/>
          <w:lang w:val="en-US" w:eastAsia="zh-CN" w:bidi="ar"/>
        </w:rPr>
        <w:t>～25张/667</w:t>
      </w:r>
      <w:r>
        <w:rPr>
          <w:rFonts w:hint="eastAsia" w:ascii="宋体" w:hAnsi="宋体" w:cs="宋体"/>
          <w:color w:val="000000"/>
          <w:kern w:val="0"/>
          <w:sz w:val="21"/>
          <w:szCs w:val="21"/>
          <w:highlight w:val="none"/>
          <w:lang w:val="en-US" w:eastAsia="zh-CN" w:bidi="ar"/>
        </w:rPr>
        <w:t xml:space="preserve"> </w:t>
      </w:r>
      <w:r>
        <w:rPr>
          <w:rFonts w:hint="eastAsia" w:ascii="宋体" w:hAnsi="宋体" w:eastAsia="宋体" w:cs="宋体"/>
          <w:color w:val="000000"/>
          <w:kern w:val="0"/>
          <w:sz w:val="21"/>
          <w:szCs w:val="21"/>
          <w:highlight w:val="none"/>
          <w:lang w:val="en-US" w:eastAsia="zh-CN" w:bidi="ar"/>
        </w:rPr>
        <w:t>m</w:t>
      </w:r>
      <w:r>
        <w:rPr>
          <w:rFonts w:hint="eastAsia" w:ascii="宋体" w:hAnsi="宋体" w:cs="宋体"/>
          <w:color w:val="000000"/>
          <w:kern w:val="0"/>
          <w:sz w:val="21"/>
          <w:szCs w:val="21"/>
          <w:highlight w:val="none"/>
          <w:vertAlign w:val="superscript"/>
          <w:lang w:val="en-US" w:eastAsia="zh-CN" w:bidi="ar"/>
        </w:rPr>
        <w:t>2</w:t>
      </w:r>
      <w:r>
        <w:rPr>
          <w:rFonts w:hint="eastAsia" w:ascii="宋体" w:hAnsi="宋体" w:eastAsia="宋体" w:cs="宋体"/>
          <w:color w:val="000000"/>
          <w:kern w:val="0"/>
          <w:sz w:val="21"/>
          <w:szCs w:val="21"/>
          <w:highlight w:val="none"/>
          <w:lang w:val="en-US" w:eastAsia="zh-CN" w:bidi="ar"/>
        </w:rPr>
        <w:t>，高出茶蓬15 cm～20</w:t>
      </w:r>
      <w:r>
        <w:rPr>
          <w:rFonts w:hint="eastAsia" w:ascii="宋体" w:hAnsi="宋体" w:cs="宋体"/>
          <w:color w:val="000000"/>
          <w:kern w:val="0"/>
          <w:sz w:val="21"/>
          <w:szCs w:val="21"/>
          <w:highlight w:val="none"/>
          <w:lang w:val="en-US" w:eastAsia="zh-CN" w:bidi="ar"/>
        </w:rPr>
        <w:t xml:space="preserve"> </w:t>
      </w:r>
      <w:r>
        <w:rPr>
          <w:rFonts w:hint="eastAsia" w:ascii="宋体" w:hAnsi="宋体" w:eastAsia="宋体" w:cs="宋体"/>
          <w:color w:val="000000"/>
          <w:kern w:val="0"/>
          <w:sz w:val="21"/>
          <w:szCs w:val="21"/>
          <w:highlight w:val="none"/>
          <w:lang w:val="en-US" w:eastAsia="zh-CN" w:bidi="ar"/>
        </w:rPr>
        <w:t>cm</w:t>
      </w:r>
      <w:r>
        <w:rPr>
          <w:rFonts w:hint="eastAsia" w:ascii="宋体" w:hAnsi="宋体" w:cs="宋体"/>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 xml:space="preserve">天敌友好型杀虫灯 </w:t>
      </w:r>
    </w:p>
    <w:p w14:paraId="12B3FCDB">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放置密度1盏/hm</w:t>
      </w:r>
      <w:r>
        <w:rPr>
          <w:rFonts w:hint="eastAsia" w:ascii="宋体" w:hAnsi="宋体" w:eastAsia="宋体" w:cs="宋体"/>
          <w:color w:val="000000"/>
          <w:kern w:val="0"/>
          <w:sz w:val="21"/>
          <w:szCs w:val="21"/>
          <w:highlight w:val="none"/>
          <w:vertAlign w:val="superscript"/>
          <w:lang w:val="en-US" w:eastAsia="zh-CN" w:bidi="ar"/>
        </w:rPr>
        <w:t>2</w:t>
      </w:r>
      <w:r>
        <w:rPr>
          <w:rFonts w:hint="eastAsia" w:ascii="宋体" w:hAnsi="宋体" w:eastAsia="宋体" w:cs="宋体"/>
          <w:color w:val="000000"/>
          <w:kern w:val="0"/>
          <w:sz w:val="21"/>
          <w:szCs w:val="21"/>
          <w:highlight w:val="none"/>
          <w:lang w:val="en-US" w:eastAsia="zh-CN" w:bidi="ar"/>
        </w:rPr>
        <w:t>；性诱剂诱捕器放置密度1个/667 m</w:t>
      </w:r>
      <w:r>
        <w:rPr>
          <w:rFonts w:hint="eastAsia" w:ascii="宋体" w:hAnsi="宋体" w:eastAsia="宋体" w:cs="宋体"/>
          <w:color w:val="000000"/>
          <w:kern w:val="0"/>
          <w:sz w:val="21"/>
          <w:szCs w:val="21"/>
          <w:highlight w:val="none"/>
          <w:vertAlign w:val="superscript"/>
          <w:lang w:val="en-US" w:eastAsia="zh-CN" w:bidi="ar"/>
        </w:rPr>
        <w:t>2</w:t>
      </w:r>
      <w:r>
        <w:rPr>
          <w:rFonts w:hint="eastAsia" w:ascii="宋体" w:hAnsi="宋体" w:eastAsia="宋体" w:cs="宋体"/>
          <w:color w:val="000000"/>
          <w:kern w:val="0"/>
          <w:sz w:val="21"/>
          <w:szCs w:val="21"/>
          <w:highlight w:val="none"/>
          <w:lang w:val="en-US" w:eastAsia="zh-CN" w:bidi="ar"/>
        </w:rPr>
        <w:t>。</w:t>
      </w:r>
    </w:p>
    <w:p w14:paraId="59AE0C57">
      <w:pPr>
        <w:autoSpaceDE w:val="0"/>
        <w:autoSpaceDN w:val="0"/>
        <w:spacing w:before="156" w:beforeLines="50" w:after="156" w:afterLines="50" w:line="240" w:lineRule="auto"/>
        <w:ind w:firstLine="210" w:firstLineChars="100"/>
        <w:jc w:val="left"/>
        <w:outlineLvl w:val="2"/>
        <w:rPr>
          <w:rFonts w:hint="eastAsia" w:ascii="黑体" w:hAnsi="ºÚÌå" w:eastAsia="黑体" w:cs="黑体"/>
          <w:color w:val="auto"/>
          <w:kern w:val="0"/>
          <w:highlight w:val="none"/>
          <w:lang w:eastAsia="zh-CN"/>
        </w:rPr>
      </w:pPr>
      <w:r>
        <w:rPr>
          <w:rFonts w:hint="eastAsia" w:ascii="黑体" w:hAnsi="ºÚÌå" w:eastAsia="黑体" w:cs="黑体"/>
          <w:color w:val="auto"/>
          <w:kern w:val="0"/>
          <w:highlight w:val="none"/>
        </w:rPr>
        <w:t>10.</w:t>
      </w:r>
      <w:r>
        <w:rPr>
          <w:rFonts w:hint="eastAsia" w:ascii="黑体" w:hAnsi="ºÚÌå" w:eastAsia="黑体" w:cs="黑体"/>
          <w:color w:val="auto"/>
          <w:kern w:val="0"/>
          <w:highlight w:val="none"/>
          <w:lang w:val="en-US" w:eastAsia="zh-CN"/>
        </w:rPr>
        <w:t>3</w:t>
      </w:r>
      <w:r>
        <w:rPr>
          <w:rFonts w:hint="eastAsia" w:ascii="黑体" w:hAnsi="ºÚÌå" w:eastAsia="黑体" w:cs="黑体"/>
          <w:color w:val="auto"/>
          <w:kern w:val="0"/>
          <w:highlight w:val="none"/>
        </w:rPr>
        <w:t>.</w:t>
      </w:r>
      <w:r>
        <w:rPr>
          <w:rFonts w:hint="eastAsia" w:ascii="黑体" w:hAnsi="ºÚÌå" w:eastAsia="黑体" w:cs="黑体"/>
          <w:color w:val="auto"/>
          <w:kern w:val="0"/>
          <w:highlight w:val="none"/>
          <w:lang w:val="en-US" w:eastAsia="zh-CN"/>
        </w:rPr>
        <w:t>3</w:t>
      </w:r>
      <w:r>
        <w:rPr>
          <w:rFonts w:hint="eastAsia" w:ascii="黑体" w:hAnsi="ºÚÌå" w:eastAsia="黑体" w:cs="黑体"/>
          <w:color w:val="auto"/>
          <w:spacing w:val="0"/>
          <w:w w:val="40"/>
          <w:kern w:val="0"/>
          <w:highlight w:val="none"/>
          <w:fitText w:val="210" w:id="1159359726"/>
        </w:rPr>
        <w:t>　 　</w:t>
      </w:r>
      <w:r>
        <w:rPr>
          <w:rFonts w:hint="eastAsia" w:ascii="黑体" w:hAnsi="ºÚÌå" w:eastAsia="黑体" w:cs="黑体"/>
          <w:color w:val="auto"/>
          <w:kern w:val="0"/>
          <w:highlight w:val="none"/>
          <w:lang w:eastAsia="zh-CN"/>
        </w:rPr>
        <w:t>生物</w:t>
      </w:r>
      <w:r>
        <w:rPr>
          <w:rFonts w:hint="eastAsia" w:ascii="黑体" w:hAnsi="ºÚÌå" w:eastAsia="黑体" w:cs="黑体"/>
          <w:color w:val="auto"/>
          <w:kern w:val="0"/>
          <w:highlight w:val="none"/>
        </w:rPr>
        <w:t>防</w:t>
      </w:r>
      <w:r>
        <w:rPr>
          <w:rFonts w:hint="eastAsia" w:ascii="黑体" w:hAnsi="ºÚÌå" w:eastAsia="黑体" w:cs="黑体"/>
          <w:color w:val="auto"/>
          <w:kern w:val="0"/>
          <w:highlight w:val="none"/>
          <w:lang w:eastAsia="zh-CN"/>
        </w:rPr>
        <w:t>治</w:t>
      </w:r>
    </w:p>
    <w:p w14:paraId="0988BAD7">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 </w:t>
      </w:r>
      <w:r>
        <w:rPr>
          <w:rFonts w:hint="eastAsia" w:ascii="宋体" w:hAnsi="宋体" w:cs="宋体"/>
          <w:color w:val="000000"/>
          <w:kern w:val="0"/>
          <w:sz w:val="21"/>
          <w:szCs w:val="21"/>
          <w:highlight w:val="none"/>
          <w:lang w:val="en-US" w:eastAsia="zh-CN" w:bidi="ar"/>
        </w:rPr>
        <w:t>生物防治技术包括以下内容：</w:t>
      </w:r>
    </w:p>
    <w:p w14:paraId="0C4170A3">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a) 保护或释放害虫天敌； </w:t>
      </w:r>
    </w:p>
    <w:p w14:paraId="73D75E5B">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b) 虫口密度较大或多种类型害虫危害，可选择植物源农药、微生物源农药、动物源农药和矿物 </w:t>
      </w:r>
    </w:p>
    <w:p w14:paraId="54A8AD92">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eastAsia" w:ascii="黑体" w:hAnsi="ºÚÌå" w:eastAsia="黑体" w:cs="黑体"/>
          <w:color w:val="auto"/>
          <w:kern w:val="0"/>
          <w:sz w:val="21"/>
          <w:szCs w:val="21"/>
          <w:highlight w:val="none"/>
          <w:lang w:eastAsia="zh-CN"/>
        </w:rPr>
      </w:pPr>
      <w:r>
        <w:rPr>
          <w:rFonts w:hint="eastAsia" w:ascii="宋体" w:hAnsi="宋体" w:eastAsia="宋体" w:cs="宋体"/>
          <w:color w:val="000000"/>
          <w:kern w:val="0"/>
          <w:sz w:val="21"/>
          <w:szCs w:val="21"/>
          <w:highlight w:val="none"/>
          <w:lang w:val="en-US" w:eastAsia="zh-CN" w:bidi="ar"/>
        </w:rPr>
        <w:t>源农药防控，必要时允许使用非水溶性药剂防控，并严格按照农药安全间隔期使用。</w:t>
      </w:r>
    </w:p>
    <w:p w14:paraId="53B1107B">
      <w:pPr>
        <w:autoSpaceDE w:val="0"/>
        <w:autoSpaceDN w:val="0"/>
        <w:spacing w:before="156" w:beforeLines="50" w:after="156" w:afterLines="50" w:line="240" w:lineRule="auto"/>
        <w:ind w:firstLine="210" w:firstLineChars="100"/>
        <w:jc w:val="left"/>
        <w:outlineLvl w:val="2"/>
        <w:rPr>
          <w:rFonts w:hint="eastAsia" w:ascii="黑体" w:hAnsi="ºÚÌå" w:eastAsia="黑体" w:cs="黑体"/>
          <w:color w:val="auto"/>
          <w:kern w:val="0"/>
          <w:highlight w:val="none"/>
          <w:lang w:val="en-US" w:eastAsia="zh-CN"/>
        </w:rPr>
      </w:pPr>
      <w:r>
        <w:rPr>
          <w:rFonts w:hint="eastAsia" w:ascii="黑体" w:hAnsi="ºÚÌå" w:eastAsia="黑体" w:cs="黑体"/>
          <w:color w:val="auto"/>
          <w:kern w:val="0"/>
          <w:highlight w:val="none"/>
        </w:rPr>
        <w:t>10.</w:t>
      </w:r>
      <w:r>
        <w:rPr>
          <w:rFonts w:hint="eastAsia" w:ascii="黑体" w:hAnsi="ºÚÌå" w:eastAsia="黑体" w:cs="黑体"/>
          <w:color w:val="auto"/>
          <w:kern w:val="0"/>
          <w:highlight w:val="none"/>
          <w:lang w:val="en-US" w:eastAsia="zh-CN"/>
        </w:rPr>
        <w:t>3</w:t>
      </w:r>
      <w:r>
        <w:rPr>
          <w:rFonts w:hint="eastAsia" w:ascii="黑体" w:hAnsi="ºÚÌå" w:eastAsia="黑体" w:cs="黑体"/>
          <w:color w:val="auto"/>
          <w:kern w:val="0"/>
          <w:highlight w:val="none"/>
        </w:rPr>
        <w:t>.</w:t>
      </w:r>
      <w:r>
        <w:rPr>
          <w:rFonts w:hint="eastAsia" w:ascii="黑体" w:hAnsi="ºÚÌå" w:eastAsia="黑体" w:cs="黑体"/>
          <w:color w:val="auto"/>
          <w:kern w:val="0"/>
          <w:highlight w:val="none"/>
          <w:lang w:val="en-US" w:eastAsia="zh-CN"/>
        </w:rPr>
        <w:t>4</w:t>
      </w:r>
      <w:r>
        <w:rPr>
          <w:rFonts w:hint="eastAsia" w:ascii="黑体" w:hAnsi="ºÚÌå" w:eastAsia="黑体" w:cs="黑体"/>
          <w:color w:val="auto"/>
          <w:spacing w:val="0"/>
          <w:w w:val="40"/>
          <w:kern w:val="0"/>
          <w:highlight w:val="none"/>
          <w:fitText w:val="210" w:id="1766553546"/>
        </w:rPr>
        <w:t>　 　</w:t>
      </w:r>
      <w:r>
        <w:rPr>
          <w:rFonts w:hint="eastAsia" w:ascii="黑体" w:hAnsi="ºÚÌå" w:eastAsia="黑体" w:cs="黑体"/>
          <w:color w:val="auto"/>
          <w:kern w:val="0"/>
          <w:highlight w:val="none"/>
          <w:lang w:eastAsia="zh-CN"/>
        </w:rPr>
        <w:t>药剂</w:t>
      </w:r>
      <w:r>
        <w:rPr>
          <w:rFonts w:hint="eastAsia" w:ascii="黑体" w:hAnsi="ºÚÌå" w:eastAsia="黑体" w:cs="黑体"/>
          <w:color w:val="auto"/>
          <w:kern w:val="0"/>
          <w:highlight w:val="none"/>
          <w:lang w:val="en-US" w:eastAsia="zh-CN"/>
        </w:rPr>
        <w:t>防治</w:t>
      </w:r>
    </w:p>
    <w:p w14:paraId="743377B3">
      <w:pPr>
        <w:autoSpaceDE w:val="0"/>
        <w:autoSpaceDN w:val="0"/>
        <w:spacing w:before="156" w:beforeLines="50" w:after="156" w:afterLines="50" w:line="240" w:lineRule="auto"/>
        <w:ind w:firstLine="210" w:firstLineChars="100"/>
        <w:jc w:val="left"/>
        <w:outlineLvl w:val="2"/>
        <w:rPr>
          <w:rFonts w:hint="eastAsia" w:ascii="黑体" w:hAnsi="ºÚÌå" w:eastAsia="黑体" w:cs="黑体"/>
          <w:color w:val="auto"/>
          <w:kern w:val="0"/>
          <w:highlight w:val="none"/>
          <w:lang w:eastAsia="zh-CN"/>
        </w:rPr>
      </w:pPr>
      <w:r>
        <w:rPr>
          <w:rFonts w:hint="eastAsia" w:ascii="黑体" w:hAnsi="ºÚÌå" w:eastAsia="黑体" w:cs="黑体"/>
          <w:color w:val="auto"/>
          <w:kern w:val="0"/>
          <w:highlight w:val="none"/>
        </w:rPr>
        <w:t>10.</w:t>
      </w:r>
      <w:r>
        <w:rPr>
          <w:rFonts w:hint="eastAsia" w:ascii="黑体" w:hAnsi="ºÚÌå" w:eastAsia="黑体" w:cs="黑体"/>
          <w:color w:val="auto"/>
          <w:kern w:val="0"/>
          <w:highlight w:val="none"/>
          <w:lang w:val="en-US" w:eastAsia="zh-CN"/>
        </w:rPr>
        <w:t>3</w:t>
      </w:r>
      <w:r>
        <w:rPr>
          <w:rFonts w:hint="eastAsia" w:ascii="黑体" w:hAnsi="ºÚÌå" w:eastAsia="黑体" w:cs="黑体"/>
          <w:color w:val="auto"/>
          <w:kern w:val="0"/>
          <w:highlight w:val="none"/>
        </w:rPr>
        <w:t>.</w:t>
      </w:r>
      <w:r>
        <w:rPr>
          <w:rFonts w:hint="eastAsia" w:ascii="黑体" w:hAnsi="ºÚÌå" w:eastAsia="黑体" w:cs="黑体"/>
          <w:color w:val="auto"/>
          <w:kern w:val="0"/>
          <w:highlight w:val="none"/>
          <w:lang w:val="en-US" w:eastAsia="zh-CN"/>
        </w:rPr>
        <w:t>4.1</w:t>
      </w:r>
      <w:r>
        <w:rPr>
          <w:rFonts w:hint="eastAsia" w:ascii="黑体" w:hAnsi="ºÚÌå" w:eastAsia="黑体" w:cs="黑体"/>
          <w:color w:val="auto"/>
          <w:spacing w:val="0"/>
          <w:w w:val="40"/>
          <w:kern w:val="0"/>
          <w:highlight w:val="none"/>
          <w:fitText w:val="210" w:id="1850476167"/>
        </w:rPr>
        <w:t>　 　</w:t>
      </w:r>
      <w:r>
        <w:rPr>
          <w:rFonts w:hint="eastAsia" w:ascii="黑体" w:hAnsi="ºÚÌå" w:eastAsia="黑体" w:cs="黑体"/>
          <w:color w:val="auto"/>
          <w:kern w:val="0"/>
          <w:highlight w:val="none"/>
          <w:lang w:eastAsia="zh-CN"/>
        </w:rPr>
        <w:t>茶树</w:t>
      </w:r>
    </w:p>
    <w:p w14:paraId="04D2D31E">
      <w:pPr>
        <w:autoSpaceDE w:val="0"/>
        <w:autoSpaceDN w:val="0"/>
        <w:spacing w:line="240" w:lineRule="auto"/>
        <w:ind w:firstLine="420" w:firstLineChars="200"/>
        <w:jc w:val="left"/>
        <w:rPr>
          <w:rFonts w:hint="eastAsia" w:ascii="宋体" w:hAnsi="宋体" w:cs="黑体"/>
          <w:color w:val="auto"/>
          <w:kern w:val="0"/>
          <w:highlight w:val="none"/>
          <w:lang w:val="en-US" w:eastAsia="zh-CN"/>
        </w:rPr>
      </w:pPr>
      <w:r>
        <w:rPr>
          <w:rFonts w:hint="eastAsia" w:ascii="宋体" w:hAnsi="宋体" w:cs="黑体"/>
          <w:color w:val="auto"/>
          <w:kern w:val="0"/>
          <w:highlight w:val="none"/>
          <w:lang w:val="en-US" w:eastAsia="zh-CN"/>
        </w:rPr>
        <w:t>按T/LZBX 025的规定执行</w:t>
      </w:r>
      <w:r>
        <w:rPr>
          <w:rFonts w:hint="eastAsia" w:ascii="宋体" w:hAnsi="宋体" w:cs="黑体"/>
          <w:color w:val="auto"/>
          <w:kern w:val="0"/>
          <w:highlight w:val="none"/>
          <w:lang w:eastAsia="zh-CN"/>
        </w:rPr>
        <w:t>，见</w:t>
      </w:r>
      <w:r>
        <w:rPr>
          <w:rFonts w:hint="eastAsia" w:ascii="宋体" w:hAnsi="宋体" w:cs="黑体"/>
          <w:color w:val="auto"/>
          <w:kern w:val="0"/>
          <w:highlight w:val="none"/>
          <w:lang w:val="en-US" w:eastAsia="zh-CN"/>
        </w:rPr>
        <w:t>附录A。</w:t>
      </w:r>
    </w:p>
    <w:p w14:paraId="40A2A478">
      <w:pPr>
        <w:autoSpaceDE w:val="0"/>
        <w:autoSpaceDN w:val="0"/>
        <w:spacing w:before="156" w:beforeLines="50" w:after="156" w:afterLines="50" w:line="240" w:lineRule="auto"/>
        <w:ind w:firstLine="210" w:firstLineChars="100"/>
        <w:jc w:val="left"/>
        <w:outlineLvl w:val="2"/>
        <w:rPr>
          <w:rFonts w:hint="eastAsia" w:ascii="黑体" w:hAnsi="ºÚÌå" w:eastAsia="黑体" w:cs="黑体"/>
          <w:color w:val="auto"/>
          <w:kern w:val="0"/>
          <w:highlight w:val="none"/>
          <w:lang w:eastAsia="zh-CN"/>
        </w:rPr>
      </w:pPr>
      <w:r>
        <w:rPr>
          <w:rFonts w:hint="eastAsia" w:ascii="黑体" w:hAnsi="ºÚÌå" w:eastAsia="黑体" w:cs="黑体"/>
          <w:color w:val="auto"/>
          <w:kern w:val="0"/>
          <w:highlight w:val="none"/>
        </w:rPr>
        <w:t>10.</w:t>
      </w:r>
      <w:r>
        <w:rPr>
          <w:rFonts w:hint="eastAsia" w:ascii="黑体" w:hAnsi="ºÚÌå" w:eastAsia="黑体" w:cs="黑体"/>
          <w:color w:val="auto"/>
          <w:kern w:val="0"/>
          <w:highlight w:val="none"/>
          <w:lang w:val="en-US" w:eastAsia="zh-CN"/>
        </w:rPr>
        <w:t>3</w:t>
      </w:r>
      <w:r>
        <w:rPr>
          <w:rFonts w:hint="eastAsia" w:ascii="黑体" w:hAnsi="ºÚÌå" w:eastAsia="黑体" w:cs="黑体"/>
          <w:color w:val="auto"/>
          <w:kern w:val="0"/>
          <w:highlight w:val="none"/>
        </w:rPr>
        <w:t>.</w:t>
      </w:r>
      <w:r>
        <w:rPr>
          <w:rFonts w:hint="eastAsia" w:ascii="黑体" w:hAnsi="ºÚÌå" w:eastAsia="黑体" w:cs="黑体"/>
          <w:color w:val="auto"/>
          <w:kern w:val="0"/>
          <w:highlight w:val="none"/>
          <w:lang w:val="en-US" w:eastAsia="zh-CN"/>
        </w:rPr>
        <w:t>4.2</w:t>
      </w:r>
      <w:r>
        <w:rPr>
          <w:rFonts w:hint="eastAsia" w:ascii="黑体" w:hAnsi="ºÚÌå" w:eastAsia="黑体" w:cs="黑体"/>
          <w:color w:val="auto"/>
          <w:spacing w:val="0"/>
          <w:w w:val="40"/>
          <w:kern w:val="0"/>
          <w:highlight w:val="none"/>
          <w:fitText w:val="210" w:id="1164802694"/>
        </w:rPr>
        <w:t>　 　</w:t>
      </w:r>
      <w:r>
        <w:rPr>
          <w:rFonts w:hint="eastAsia" w:ascii="黑体" w:hAnsi="ºÚÌå" w:eastAsia="黑体" w:cs="黑体"/>
          <w:color w:val="auto"/>
          <w:kern w:val="0"/>
          <w:highlight w:val="none"/>
          <w:lang w:eastAsia="zh-CN"/>
        </w:rPr>
        <w:t>葡萄</w:t>
      </w:r>
    </w:p>
    <w:p w14:paraId="2AE4BA49">
      <w:pPr>
        <w:autoSpaceDE w:val="0"/>
        <w:autoSpaceDN w:val="0"/>
        <w:spacing w:line="240" w:lineRule="auto"/>
        <w:ind w:firstLine="420" w:firstLineChars="200"/>
        <w:jc w:val="left"/>
        <w:rPr>
          <w:rFonts w:hint="eastAsia" w:ascii="宋体" w:hAnsi="宋体" w:cs="黑体"/>
          <w:color w:val="auto"/>
          <w:kern w:val="0"/>
          <w:highlight w:val="none"/>
          <w:lang w:val="en-US" w:eastAsia="zh-CN"/>
        </w:rPr>
      </w:pPr>
      <w:r>
        <w:rPr>
          <w:rFonts w:hint="eastAsia" w:ascii="宋体" w:hAnsi="宋体" w:cs="黑体"/>
          <w:color w:val="auto"/>
          <w:kern w:val="0"/>
          <w:highlight w:val="none"/>
          <w:lang w:val="en-US" w:eastAsia="zh-CN"/>
        </w:rPr>
        <w:t>防治时期、防治对象和农药选用，见附录B。</w:t>
      </w:r>
    </w:p>
    <w:p w14:paraId="2DCAB9B3">
      <w:pPr>
        <w:pStyle w:val="104"/>
        <w:spacing w:before="312" w:after="312"/>
        <w:ind w:left="216" w:leftChars="103" w:firstLine="0" w:firstLineChars="0"/>
        <w:rPr>
          <w:rFonts w:hint="eastAsia"/>
          <w:color w:val="auto"/>
          <w:highlight w:val="none"/>
          <w:lang w:val="en-US" w:eastAsia="zh-CN"/>
        </w:rPr>
      </w:pPr>
      <w:r>
        <w:rPr>
          <w:rFonts w:hint="eastAsia"/>
          <w:color w:val="auto"/>
          <w:highlight w:val="none"/>
          <w:lang w:val="en-US" w:eastAsia="zh-CN"/>
        </w:rPr>
        <w:t>采收</w:t>
      </w:r>
    </w:p>
    <w:p w14:paraId="605D2D19">
      <w:pPr>
        <w:pStyle w:val="162"/>
        <w:spacing w:before="156" w:beforeLines="50" w:after="156" w:afterLines="50"/>
        <w:ind w:left="0" w:leftChars="0" w:firstLine="218" w:firstLineChars="104"/>
        <w:outlineLvl w:val="1"/>
        <w:rPr>
          <w:color w:val="auto"/>
          <w:highlight w:val="none"/>
        </w:rPr>
      </w:pPr>
      <w:r>
        <w:rPr>
          <w:rFonts w:hint="eastAsia" w:ascii="黑体" w:hAnsi="ºÚÌå" w:eastAsia="黑体" w:cs="黑体"/>
          <w:color w:val="auto"/>
          <w:szCs w:val="21"/>
          <w:highlight w:val="none"/>
        </w:rPr>
        <w:t>茶</w:t>
      </w:r>
      <w:r>
        <w:rPr>
          <w:rFonts w:hint="eastAsia" w:ascii="黑体" w:hAnsi="ºÚÌå" w:eastAsia="黑体" w:cs="黑体"/>
          <w:color w:val="auto"/>
          <w:szCs w:val="21"/>
          <w:highlight w:val="none"/>
          <w:lang w:val="en-US" w:eastAsia="zh-CN"/>
        </w:rPr>
        <w:t>叶</w:t>
      </w:r>
    </w:p>
    <w:p w14:paraId="35185B83">
      <w:pPr>
        <w:autoSpaceDE w:val="0"/>
        <w:autoSpaceDN w:val="0"/>
        <w:spacing w:line="240" w:lineRule="auto"/>
        <w:ind w:firstLine="420" w:firstLineChars="200"/>
        <w:jc w:val="left"/>
        <w:rPr>
          <w:rFonts w:hint="default" w:ascii="宋体" w:hAnsi="宋体" w:eastAsia="宋体" w:cs="宋体"/>
          <w:color w:val="auto"/>
          <w:kern w:val="0"/>
          <w:highlight w:val="none"/>
          <w:lang w:val="en-US" w:eastAsia="zh-CN"/>
        </w:rPr>
      </w:pPr>
      <w:r>
        <w:rPr>
          <w:rFonts w:hint="eastAsia" w:ascii="宋体" w:hAnsi="宋体" w:cs="宋体"/>
          <w:color w:val="auto"/>
          <w:kern w:val="0"/>
          <w:highlight w:val="none"/>
          <w:lang w:val="en-US" w:eastAsia="zh-CN"/>
        </w:rPr>
        <w:t>按NY/T 5018的规定执行。</w:t>
      </w:r>
    </w:p>
    <w:p w14:paraId="5528DB1B">
      <w:pPr>
        <w:pStyle w:val="162"/>
        <w:spacing w:before="156" w:beforeLines="50" w:after="156" w:afterLines="50"/>
        <w:ind w:left="0" w:leftChars="0" w:firstLine="218" w:firstLineChars="104"/>
        <w:outlineLvl w:val="1"/>
        <w:rPr>
          <w:rFonts w:hint="default" w:eastAsia="宋体"/>
          <w:color w:val="auto"/>
          <w:highlight w:val="none"/>
          <w:lang w:val="en-US" w:eastAsia="zh-CN"/>
        </w:rPr>
      </w:pPr>
      <w:r>
        <w:rPr>
          <w:rFonts w:hint="eastAsia" w:ascii="黑体" w:hAnsi="ºÚÌå" w:eastAsia="黑体" w:cs="黑体"/>
          <w:color w:val="auto"/>
          <w:szCs w:val="21"/>
          <w:highlight w:val="none"/>
        </w:rPr>
        <w:t>葡萄</w:t>
      </w:r>
    </w:p>
    <w:p w14:paraId="48828049">
      <w:pPr>
        <w:autoSpaceDE w:val="0"/>
        <w:autoSpaceDN w:val="0"/>
        <w:spacing w:line="240" w:lineRule="auto"/>
        <w:ind w:firstLine="420" w:firstLineChars="200"/>
        <w:jc w:val="left"/>
        <w:rPr>
          <w:rFonts w:hint="eastAsia" w:ascii="宋体" w:hAnsi="宋体" w:eastAsia="宋体" w:cs="宋体"/>
          <w:color w:val="auto"/>
          <w:kern w:val="0"/>
          <w:highlight w:val="none"/>
          <w:lang w:val="en-US" w:eastAsia="zh-CN"/>
        </w:rPr>
      </w:pPr>
      <w:r>
        <w:rPr>
          <w:rFonts w:hint="eastAsia" w:ascii="宋体" w:hAnsi="宋体" w:cs="宋体"/>
          <w:color w:val="auto"/>
          <w:kern w:val="0"/>
          <w:highlight w:val="none"/>
        </w:rPr>
        <w:t>果穗上95%果实色泽达到该品种成熟正常色泽时采收</w:t>
      </w:r>
      <w:r>
        <w:rPr>
          <w:rFonts w:hint="eastAsia" w:ascii="宋体" w:hAnsi="宋体" w:cs="宋体"/>
          <w:color w:val="auto"/>
          <w:kern w:val="0"/>
          <w:highlight w:val="none"/>
          <w:lang w:eastAsia="zh-CN"/>
        </w:rPr>
        <w:t>。</w:t>
      </w:r>
    </w:p>
    <w:p w14:paraId="64CD28D4">
      <w:pPr>
        <w:pStyle w:val="104"/>
        <w:spacing w:before="312" w:after="312"/>
        <w:ind w:left="216" w:leftChars="103" w:firstLine="0" w:firstLineChars="0"/>
        <w:rPr>
          <w:rFonts w:hint="default"/>
          <w:color w:val="auto"/>
          <w:highlight w:val="none"/>
          <w:lang w:val="en-US" w:eastAsia="zh-CN"/>
        </w:rPr>
      </w:pPr>
      <w:r>
        <w:rPr>
          <w:rFonts w:hint="eastAsia"/>
          <w:color w:val="auto"/>
          <w:highlight w:val="none"/>
          <w:lang w:val="en-US" w:eastAsia="zh-CN"/>
        </w:rPr>
        <w:t>生产档案</w:t>
      </w:r>
    </w:p>
    <w:p w14:paraId="05680699">
      <w:pPr>
        <w:pStyle w:val="56"/>
        <w:rPr>
          <w:rFonts w:hint="eastAsia"/>
          <w:highlight w:val="none"/>
          <w:lang w:val="en-US" w:eastAsia="zh-CN"/>
        </w:rPr>
      </w:pPr>
      <w:r>
        <w:rPr>
          <w:rFonts w:hint="eastAsia"/>
          <w:highlight w:val="none"/>
          <w:lang w:val="en-US" w:eastAsia="zh-CN"/>
        </w:rPr>
        <w:t>建立园地农事防控记录，档案记录保存2年，见附录C。</w:t>
      </w:r>
    </w:p>
    <w:p w14:paraId="7C35057E">
      <w:pPr>
        <w:pStyle w:val="56"/>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p>
    <w:p w14:paraId="253EA3E1">
      <w:pPr>
        <w:pStyle w:val="56"/>
        <w:ind w:left="0" w:leftChars="0" w:firstLine="0" w:firstLineChars="0"/>
        <w:jc w:val="center"/>
        <w:rPr>
          <w:b/>
          <w:bCs/>
          <w:color w:val="auto"/>
          <w:highlight w:val="none"/>
        </w:rPr>
      </w:pPr>
      <w:r>
        <w:rPr>
          <w:rFonts w:hint="eastAsia"/>
          <w:b/>
          <w:bCs/>
          <w:color w:val="auto"/>
          <w:highlight w:val="none"/>
        </w:rPr>
        <w:t>附 录 A</w:t>
      </w:r>
    </w:p>
    <w:p w14:paraId="6C3F2BC8">
      <w:pPr>
        <w:pStyle w:val="56"/>
        <w:ind w:firstLine="0" w:firstLineChars="0"/>
        <w:jc w:val="center"/>
        <w:rPr>
          <w:rFonts w:hint="eastAsia"/>
          <w:b/>
          <w:bCs/>
          <w:color w:val="auto"/>
          <w:highlight w:val="none"/>
        </w:rPr>
      </w:pPr>
      <w:r>
        <w:rPr>
          <w:rFonts w:hint="eastAsia"/>
          <w:b/>
          <w:bCs/>
          <w:color w:val="auto"/>
          <w:highlight w:val="none"/>
        </w:rPr>
        <w:t>(资料性)</w:t>
      </w:r>
    </w:p>
    <w:p w14:paraId="2B1D9505">
      <w:pPr>
        <w:pStyle w:val="56"/>
        <w:ind w:firstLine="0" w:firstLineChars="0"/>
        <w:jc w:val="center"/>
        <w:rPr>
          <w:rFonts w:hint="eastAsia"/>
          <w:b/>
          <w:bCs/>
          <w:color w:val="auto"/>
          <w:highlight w:val="none"/>
        </w:rPr>
      </w:pPr>
      <w:r>
        <w:rPr>
          <w:rFonts w:hint="eastAsia"/>
          <w:b/>
          <w:bCs/>
          <w:color w:val="auto"/>
          <w:highlight w:val="none"/>
        </w:rPr>
        <w:t>茶</w:t>
      </w:r>
      <w:r>
        <w:rPr>
          <w:rFonts w:hint="eastAsia"/>
          <w:b/>
          <w:bCs/>
          <w:color w:val="auto"/>
          <w:highlight w:val="none"/>
          <w:lang w:eastAsia="zh-CN"/>
        </w:rPr>
        <w:t>树</w:t>
      </w:r>
      <w:r>
        <w:rPr>
          <w:rFonts w:hint="eastAsia"/>
          <w:b/>
          <w:bCs/>
          <w:color w:val="auto"/>
          <w:highlight w:val="none"/>
        </w:rPr>
        <w:t>主要病虫害防治方法</w:t>
      </w:r>
    </w:p>
    <w:p w14:paraId="17F2B1CE">
      <w:pPr>
        <w:pStyle w:val="56"/>
        <w:ind w:firstLine="0" w:firstLineChars="0"/>
        <w:jc w:val="center"/>
        <w:rPr>
          <w:b/>
          <w:bCs/>
          <w:color w:val="auto"/>
          <w:highlight w:val="none"/>
        </w:rPr>
      </w:pPr>
    </w:p>
    <w:p w14:paraId="07B05CB1">
      <w:pPr>
        <w:pStyle w:val="56"/>
        <w:ind w:firstLine="420"/>
        <w:jc w:val="left"/>
        <w:rPr>
          <w:rFonts w:hint="eastAsia"/>
          <w:color w:val="auto"/>
          <w:highlight w:val="none"/>
        </w:rPr>
      </w:pPr>
      <w:r>
        <w:rPr>
          <w:rFonts w:hint="eastAsia"/>
          <w:color w:val="auto"/>
          <w:highlight w:val="none"/>
        </w:rPr>
        <w:t>见表A.1。</w:t>
      </w:r>
    </w:p>
    <w:p w14:paraId="67F4A5E3">
      <w:pPr>
        <w:pStyle w:val="56"/>
        <w:ind w:firstLine="0" w:firstLineChars="0"/>
        <w:jc w:val="center"/>
        <w:rPr>
          <w:color w:val="auto"/>
          <w:highlight w:val="none"/>
        </w:rPr>
      </w:pPr>
      <w:r>
        <w:rPr>
          <w:rFonts w:hint="eastAsia"/>
          <w:b/>
          <w:bCs/>
          <w:color w:val="auto"/>
          <w:highlight w:val="none"/>
        </w:rPr>
        <w:t>表A.1茶</w:t>
      </w:r>
      <w:r>
        <w:rPr>
          <w:rFonts w:hint="eastAsia"/>
          <w:b/>
          <w:bCs/>
          <w:color w:val="auto"/>
          <w:highlight w:val="none"/>
          <w:lang w:eastAsia="zh-CN"/>
        </w:rPr>
        <w:t>树</w:t>
      </w:r>
      <w:r>
        <w:rPr>
          <w:rFonts w:hint="eastAsia"/>
          <w:b/>
          <w:bCs/>
          <w:color w:val="auto"/>
          <w:highlight w:val="none"/>
        </w:rPr>
        <w:t>主要病虫害防治方法</w:t>
      </w:r>
    </w:p>
    <w:tbl>
      <w:tblPr>
        <w:tblStyle w:val="231"/>
        <w:tblW w:w="914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9"/>
        <w:gridCol w:w="1483"/>
        <w:gridCol w:w="2029"/>
        <w:gridCol w:w="3375"/>
        <w:gridCol w:w="1713"/>
      </w:tblGrid>
      <w:tr w14:paraId="77C811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jc w:val="center"/>
        </w:trPr>
        <w:tc>
          <w:tcPr>
            <w:tcW w:w="549" w:type="dxa"/>
            <w:tcBorders>
              <w:top w:val="single" w:color="000000" w:sz="6" w:space="0"/>
              <w:left w:val="single" w:color="000000" w:sz="6" w:space="0"/>
              <w:bottom w:val="single" w:color="000000" w:sz="6" w:space="0"/>
            </w:tcBorders>
            <w:vAlign w:val="top"/>
          </w:tcPr>
          <w:p w14:paraId="3E00EC78">
            <w:pPr>
              <w:pStyle w:val="230"/>
              <w:spacing w:before="71" w:line="221" w:lineRule="auto"/>
              <w:ind w:left="91"/>
              <w:rPr>
                <w:highlight w:val="none"/>
              </w:rPr>
            </w:pPr>
            <w:r>
              <w:rPr>
                <w:spacing w:val="-4"/>
                <w:highlight w:val="none"/>
              </w:rPr>
              <w:t>序号</w:t>
            </w:r>
          </w:p>
        </w:tc>
        <w:tc>
          <w:tcPr>
            <w:tcW w:w="1483" w:type="dxa"/>
            <w:tcBorders>
              <w:top w:val="single" w:color="000000" w:sz="6" w:space="0"/>
              <w:bottom w:val="single" w:color="000000" w:sz="6" w:space="0"/>
            </w:tcBorders>
            <w:vAlign w:val="top"/>
          </w:tcPr>
          <w:p w14:paraId="47B82DFF">
            <w:pPr>
              <w:pStyle w:val="230"/>
              <w:spacing w:before="72" w:line="220" w:lineRule="auto"/>
              <w:ind w:left="472"/>
              <w:rPr>
                <w:highlight w:val="none"/>
              </w:rPr>
            </w:pPr>
            <w:r>
              <w:rPr>
                <w:spacing w:val="-4"/>
                <w:highlight w:val="none"/>
              </w:rPr>
              <w:t>药品名</w:t>
            </w:r>
          </w:p>
        </w:tc>
        <w:tc>
          <w:tcPr>
            <w:tcW w:w="2029" w:type="dxa"/>
            <w:tcBorders>
              <w:top w:val="single" w:color="000000" w:sz="6" w:space="0"/>
              <w:bottom w:val="single" w:color="000000" w:sz="6" w:space="0"/>
            </w:tcBorders>
            <w:vAlign w:val="top"/>
          </w:tcPr>
          <w:p w14:paraId="51C8A620">
            <w:pPr>
              <w:pStyle w:val="230"/>
              <w:spacing w:before="72" w:line="219" w:lineRule="auto"/>
              <w:ind w:left="119"/>
              <w:jc w:val="center"/>
              <w:rPr>
                <w:highlight w:val="none"/>
              </w:rPr>
            </w:pPr>
            <w:r>
              <w:rPr>
                <w:spacing w:val="-1"/>
                <w:highlight w:val="none"/>
              </w:rPr>
              <w:t>主要防治对象</w:t>
            </w:r>
          </w:p>
        </w:tc>
        <w:tc>
          <w:tcPr>
            <w:tcW w:w="3375" w:type="dxa"/>
            <w:tcBorders>
              <w:top w:val="single" w:color="000000" w:sz="6" w:space="0"/>
              <w:bottom w:val="single" w:color="000000" w:sz="6" w:space="0"/>
            </w:tcBorders>
            <w:vAlign w:val="top"/>
          </w:tcPr>
          <w:p w14:paraId="1E298CFF">
            <w:pPr>
              <w:pStyle w:val="230"/>
              <w:spacing w:before="72" w:line="219" w:lineRule="auto"/>
              <w:ind w:left="1187"/>
              <w:rPr>
                <w:highlight w:val="none"/>
              </w:rPr>
            </w:pPr>
            <w:r>
              <w:rPr>
                <w:spacing w:val="-2"/>
                <w:highlight w:val="none"/>
              </w:rPr>
              <w:t>使用方法</w:t>
            </w:r>
          </w:p>
        </w:tc>
        <w:tc>
          <w:tcPr>
            <w:tcW w:w="1713" w:type="dxa"/>
            <w:tcBorders>
              <w:top w:val="single" w:color="000000" w:sz="6" w:space="0"/>
              <w:bottom w:val="single" w:color="000000" w:sz="6" w:space="0"/>
              <w:right w:val="single" w:color="000000" w:sz="6" w:space="0"/>
            </w:tcBorders>
            <w:vAlign w:val="top"/>
          </w:tcPr>
          <w:p w14:paraId="06B15299">
            <w:pPr>
              <w:pStyle w:val="230"/>
              <w:spacing w:before="71" w:line="221" w:lineRule="auto"/>
              <w:jc w:val="center"/>
              <w:rPr>
                <w:highlight w:val="none"/>
              </w:rPr>
            </w:pPr>
            <w:r>
              <w:rPr>
                <w:rFonts w:hint="eastAsia" w:ascii="宋体" w:hAnsi="宋体"/>
                <w:color w:val="auto"/>
                <w:kern w:val="0"/>
                <w:sz w:val="18"/>
                <w:szCs w:val="18"/>
                <w:highlight w:val="none"/>
              </w:rPr>
              <w:t>安全间隔期</w:t>
            </w:r>
          </w:p>
        </w:tc>
      </w:tr>
      <w:tr w14:paraId="540CAF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jc w:val="center"/>
        </w:trPr>
        <w:tc>
          <w:tcPr>
            <w:tcW w:w="549" w:type="dxa"/>
            <w:tcBorders>
              <w:top w:val="single" w:color="000000" w:sz="6" w:space="0"/>
              <w:left w:val="single" w:color="000000" w:sz="6" w:space="0"/>
            </w:tcBorders>
            <w:vAlign w:val="top"/>
          </w:tcPr>
          <w:p w14:paraId="7E605D89">
            <w:pPr>
              <w:pStyle w:val="230"/>
              <w:spacing w:before="89" w:line="184" w:lineRule="auto"/>
              <w:ind w:left="240"/>
              <w:jc w:val="both"/>
              <w:rPr>
                <w:highlight w:val="none"/>
              </w:rPr>
            </w:pPr>
            <w:r>
              <w:rPr>
                <w:highlight w:val="none"/>
              </w:rPr>
              <w:t>1</w:t>
            </w:r>
          </w:p>
        </w:tc>
        <w:tc>
          <w:tcPr>
            <w:tcW w:w="8600" w:type="dxa"/>
            <w:gridSpan w:val="4"/>
            <w:tcBorders>
              <w:top w:val="single" w:color="000000" w:sz="6" w:space="0"/>
              <w:right w:val="single" w:color="000000" w:sz="6" w:space="0"/>
            </w:tcBorders>
            <w:vAlign w:val="top"/>
          </w:tcPr>
          <w:p w14:paraId="7D0B8F62">
            <w:pPr>
              <w:pStyle w:val="230"/>
              <w:spacing w:before="62" w:line="220" w:lineRule="auto"/>
              <w:ind w:left="3926"/>
              <w:jc w:val="both"/>
              <w:rPr>
                <w:highlight w:val="none"/>
              </w:rPr>
            </w:pPr>
            <w:r>
              <w:rPr>
                <w:spacing w:val="-2"/>
                <w:highlight w:val="none"/>
              </w:rPr>
              <w:t>虫害防控农资</w:t>
            </w:r>
          </w:p>
        </w:tc>
      </w:tr>
      <w:tr w14:paraId="406C67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8" w:hRule="atLeast"/>
          <w:jc w:val="center"/>
        </w:trPr>
        <w:tc>
          <w:tcPr>
            <w:tcW w:w="549" w:type="dxa"/>
            <w:tcBorders>
              <w:left w:val="single" w:color="000000" w:sz="6" w:space="0"/>
            </w:tcBorders>
            <w:vAlign w:val="center"/>
          </w:tcPr>
          <w:p w14:paraId="4AE9241C">
            <w:pPr>
              <w:pStyle w:val="230"/>
              <w:spacing w:before="59" w:line="184" w:lineRule="auto"/>
              <w:jc w:val="center"/>
              <w:rPr>
                <w:highlight w:val="none"/>
              </w:rPr>
            </w:pPr>
            <w:r>
              <w:rPr>
                <w:spacing w:val="-7"/>
                <w:highlight w:val="none"/>
              </w:rPr>
              <w:t>1.1</w:t>
            </w:r>
          </w:p>
        </w:tc>
        <w:tc>
          <w:tcPr>
            <w:tcW w:w="1483" w:type="dxa"/>
            <w:vAlign w:val="center"/>
          </w:tcPr>
          <w:p w14:paraId="336FDBA8">
            <w:pPr>
              <w:pStyle w:val="230"/>
              <w:spacing w:before="58" w:line="219" w:lineRule="auto"/>
              <w:jc w:val="center"/>
              <w:rPr>
                <w:highlight w:val="none"/>
              </w:rPr>
            </w:pPr>
            <w:r>
              <w:rPr>
                <w:spacing w:val="-1"/>
                <w:highlight w:val="none"/>
              </w:rPr>
              <w:t>0.6%苦参碱水剂</w:t>
            </w:r>
          </w:p>
        </w:tc>
        <w:tc>
          <w:tcPr>
            <w:tcW w:w="2029" w:type="dxa"/>
            <w:vAlign w:val="center"/>
          </w:tcPr>
          <w:p w14:paraId="71BA7A34">
            <w:pPr>
              <w:pStyle w:val="230"/>
              <w:spacing w:before="68" w:line="287" w:lineRule="auto"/>
              <w:ind w:right="55"/>
              <w:jc w:val="center"/>
              <w:rPr>
                <w:highlight w:val="none"/>
              </w:rPr>
            </w:pPr>
            <w:r>
              <w:rPr>
                <w:spacing w:val="-8"/>
                <w:highlight w:val="none"/>
              </w:rPr>
              <w:t>茶毛虫、茶尺蠖、小绿叶蝉、茶橙瘿螨、丽纹象</w:t>
            </w:r>
            <w:r>
              <w:rPr>
                <w:highlight w:val="none"/>
              </w:rPr>
              <w:t>甲</w:t>
            </w:r>
          </w:p>
        </w:tc>
        <w:tc>
          <w:tcPr>
            <w:tcW w:w="3375" w:type="dxa"/>
            <w:vAlign w:val="center"/>
          </w:tcPr>
          <w:p w14:paraId="303221F2">
            <w:pPr>
              <w:pStyle w:val="230"/>
              <w:spacing w:before="68" w:line="286" w:lineRule="auto"/>
              <w:ind w:right="50"/>
              <w:jc w:val="left"/>
              <w:rPr>
                <w:rFonts w:hint="eastAsia" w:eastAsia="宋体"/>
                <w:highlight w:val="none"/>
                <w:lang w:val="en-US" w:eastAsia="zh-CN"/>
              </w:rPr>
            </w:pPr>
            <w:r>
              <w:rPr>
                <w:rFonts w:hint="eastAsia"/>
                <w:spacing w:val="-12"/>
                <w:highlight w:val="none"/>
                <w:lang w:val="en-US" w:eastAsia="zh-CN"/>
              </w:rPr>
              <w:t>每</w:t>
            </w:r>
            <w:r>
              <w:rPr>
                <w:rFonts w:hint="eastAsia" w:ascii="宋体" w:hAnsi="宋体" w:eastAsia="宋体" w:cs="宋体"/>
                <w:sz w:val="18"/>
                <w:szCs w:val="18"/>
                <w:highlight w:val="none"/>
              </w:rPr>
              <w:t>667</w:t>
            </w:r>
            <w:r>
              <w:rPr>
                <w:rFonts w:hint="eastAsia" w:ascii="宋体" w:hAnsi="宋体" w:cs="宋体"/>
                <w:sz w:val="18"/>
                <w:szCs w:val="18"/>
                <w:highlight w:val="none"/>
                <w:lang w:val="en-US" w:eastAsia="zh-CN"/>
              </w:rPr>
              <w:t>m</w:t>
            </w:r>
            <w:r>
              <w:rPr>
                <w:rFonts w:hint="eastAsia" w:ascii="宋体" w:hAnsi="宋体" w:cs="宋体"/>
                <w:sz w:val="18"/>
                <w:szCs w:val="18"/>
                <w:highlight w:val="none"/>
                <w:vertAlign w:val="superscript"/>
                <w:lang w:val="en-US" w:eastAsia="zh-CN"/>
              </w:rPr>
              <w:t>2</w:t>
            </w:r>
            <w:r>
              <w:rPr>
                <w:spacing w:val="-7"/>
                <w:highlight w:val="none"/>
              </w:rPr>
              <w:t>使用量100</w:t>
            </w:r>
            <w:r>
              <w:rPr>
                <w:rFonts w:hint="eastAsia"/>
                <w:spacing w:val="-7"/>
                <w:highlight w:val="none"/>
                <w:lang w:val="en-US" w:eastAsia="zh-CN"/>
              </w:rPr>
              <w:t xml:space="preserve"> </w:t>
            </w:r>
            <w:r>
              <w:rPr>
                <w:spacing w:val="-7"/>
                <w:highlight w:val="none"/>
              </w:rPr>
              <w:t>m</w:t>
            </w:r>
            <w:r>
              <w:rPr>
                <w:rFonts w:hint="eastAsia"/>
                <w:spacing w:val="-7"/>
                <w:highlight w:val="none"/>
                <w:lang w:val="en-US" w:eastAsia="zh-CN"/>
              </w:rPr>
              <w:t>L</w:t>
            </w:r>
            <w:r>
              <w:rPr>
                <w:spacing w:val="-7"/>
                <w:highlight w:val="none"/>
              </w:rPr>
              <w:t>，稀释</w:t>
            </w:r>
            <w:r>
              <w:rPr>
                <w:spacing w:val="-44"/>
                <w:highlight w:val="none"/>
              </w:rPr>
              <w:t xml:space="preserve"> </w:t>
            </w:r>
            <w:r>
              <w:rPr>
                <w:spacing w:val="-7"/>
                <w:highlight w:val="none"/>
              </w:rPr>
              <w:t>800</w:t>
            </w:r>
            <w:r>
              <w:rPr>
                <w:rFonts w:hint="eastAsia"/>
                <w:color w:val="auto"/>
                <w:highlight w:val="none"/>
              </w:rPr>
              <w:t>～</w:t>
            </w:r>
            <w:r>
              <w:rPr>
                <w:spacing w:val="-8"/>
                <w:highlight w:val="none"/>
              </w:rPr>
              <w:t>1</w:t>
            </w:r>
            <w:r>
              <w:rPr>
                <w:rFonts w:hint="eastAsia"/>
                <w:spacing w:val="-8"/>
                <w:highlight w:val="none"/>
                <w:lang w:val="en-US" w:eastAsia="zh-CN"/>
              </w:rPr>
              <w:t xml:space="preserve"> </w:t>
            </w:r>
            <w:r>
              <w:rPr>
                <w:spacing w:val="-8"/>
                <w:highlight w:val="none"/>
              </w:rPr>
              <w:t>000</w:t>
            </w:r>
            <w:r>
              <w:rPr>
                <w:spacing w:val="-29"/>
                <w:highlight w:val="none"/>
              </w:rPr>
              <w:t xml:space="preserve"> </w:t>
            </w:r>
            <w:r>
              <w:rPr>
                <w:spacing w:val="-8"/>
                <w:highlight w:val="none"/>
              </w:rPr>
              <w:t>倍均匀喷雾。</w:t>
            </w:r>
          </w:p>
        </w:tc>
        <w:tc>
          <w:tcPr>
            <w:tcW w:w="1713" w:type="dxa"/>
            <w:vMerge w:val="restart"/>
            <w:tcBorders>
              <w:right w:val="single" w:color="000000" w:sz="6" w:space="0"/>
            </w:tcBorders>
            <w:vAlign w:val="center"/>
          </w:tcPr>
          <w:p w14:paraId="60DFB240">
            <w:pPr>
              <w:pStyle w:val="230"/>
              <w:spacing w:before="223" w:line="270" w:lineRule="auto"/>
              <w:ind w:right="52"/>
              <w:jc w:val="center"/>
              <w:rPr>
                <w:rFonts w:hint="eastAsia" w:eastAsia="宋体"/>
                <w:highlight w:val="none"/>
                <w:lang w:eastAsia="zh-CN"/>
              </w:rPr>
            </w:pPr>
            <w:r>
              <w:rPr>
                <w:rFonts w:hint="eastAsia" w:ascii="宋体" w:hAnsi="宋体"/>
                <w:color w:val="auto"/>
                <w:kern w:val="0"/>
                <w:sz w:val="18"/>
                <w:szCs w:val="18"/>
                <w:highlight w:val="none"/>
              </w:rPr>
              <w:t>应符合GB/T 8321（所有部分）的规定</w:t>
            </w:r>
            <w:r>
              <w:rPr>
                <w:rFonts w:hint="eastAsia"/>
                <w:color w:val="auto"/>
                <w:kern w:val="0"/>
                <w:sz w:val="18"/>
                <w:szCs w:val="18"/>
                <w:highlight w:val="none"/>
                <w:lang w:eastAsia="zh-CN"/>
              </w:rPr>
              <w:t>，当同一药剂对茶树和葡萄规定不同的安全间隔</w:t>
            </w:r>
            <w:r>
              <w:rPr>
                <w:rFonts w:hint="eastAsia"/>
                <w:color w:val="auto"/>
                <w:kern w:val="0"/>
                <w:sz w:val="18"/>
                <w:szCs w:val="18"/>
                <w:highlight w:val="none"/>
                <w:lang w:val="en-US" w:eastAsia="zh-CN"/>
              </w:rPr>
              <w:t>周</w:t>
            </w:r>
            <w:r>
              <w:rPr>
                <w:rFonts w:hint="eastAsia"/>
                <w:color w:val="auto"/>
                <w:kern w:val="0"/>
                <w:sz w:val="18"/>
                <w:szCs w:val="18"/>
                <w:highlight w:val="none"/>
                <w:lang w:eastAsia="zh-CN"/>
              </w:rPr>
              <w:t>期时，以间隔</w:t>
            </w:r>
            <w:r>
              <w:rPr>
                <w:rFonts w:hint="eastAsia"/>
                <w:color w:val="auto"/>
                <w:kern w:val="0"/>
                <w:sz w:val="18"/>
                <w:szCs w:val="18"/>
                <w:highlight w:val="none"/>
                <w:lang w:val="en-US" w:eastAsia="zh-CN"/>
              </w:rPr>
              <w:t>周</w:t>
            </w:r>
            <w:r>
              <w:rPr>
                <w:rFonts w:hint="eastAsia"/>
                <w:color w:val="auto"/>
                <w:kern w:val="0"/>
                <w:sz w:val="18"/>
                <w:szCs w:val="18"/>
                <w:highlight w:val="none"/>
                <w:lang w:eastAsia="zh-CN"/>
              </w:rPr>
              <w:t>期长的为准。</w:t>
            </w:r>
          </w:p>
        </w:tc>
      </w:tr>
      <w:tr w14:paraId="4080F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jc w:val="center"/>
        </w:trPr>
        <w:tc>
          <w:tcPr>
            <w:tcW w:w="549" w:type="dxa"/>
            <w:tcBorders>
              <w:left w:val="single" w:color="000000" w:sz="6" w:space="0"/>
            </w:tcBorders>
            <w:vAlign w:val="center"/>
          </w:tcPr>
          <w:p w14:paraId="61BCB599">
            <w:pPr>
              <w:pStyle w:val="230"/>
              <w:spacing w:before="58" w:line="184" w:lineRule="auto"/>
              <w:jc w:val="center"/>
              <w:rPr>
                <w:highlight w:val="none"/>
              </w:rPr>
            </w:pPr>
            <w:r>
              <w:rPr>
                <w:spacing w:val="-7"/>
                <w:highlight w:val="none"/>
              </w:rPr>
              <w:t>1.2</w:t>
            </w:r>
          </w:p>
        </w:tc>
        <w:tc>
          <w:tcPr>
            <w:tcW w:w="1483" w:type="dxa"/>
            <w:vAlign w:val="center"/>
          </w:tcPr>
          <w:p w14:paraId="281820C4">
            <w:pPr>
              <w:pStyle w:val="230"/>
              <w:spacing w:before="59" w:line="219" w:lineRule="auto"/>
              <w:jc w:val="center"/>
              <w:rPr>
                <w:highlight w:val="none"/>
              </w:rPr>
            </w:pPr>
            <w:r>
              <w:rPr>
                <w:spacing w:val="-2"/>
                <w:highlight w:val="none"/>
              </w:rPr>
              <w:t>6%鱼藤酮水剂</w:t>
            </w:r>
          </w:p>
        </w:tc>
        <w:tc>
          <w:tcPr>
            <w:tcW w:w="2029" w:type="dxa"/>
            <w:vAlign w:val="center"/>
          </w:tcPr>
          <w:p w14:paraId="7A65A072">
            <w:pPr>
              <w:pStyle w:val="230"/>
              <w:spacing w:before="224" w:line="269" w:lineRule="auto"/>
              <w:ind w:right="55"/>
              <w:jc w:val="center"/>
              <w:rPr>
                <w:highlight w:val="none"/>
              </w:rPr>
            </w:pPr>
            <w:r>
              <w:rPr>
                <w:spacing w:val="-8"/>
                <w:highlight w:val="none"/>
              </w:rPr>
              <w:t>小绿叶蝉、茶毛虫、茶</w:t>
            </w:r>
            <w:r>
              <w:rPr>
                <w:spacing w:val="-1"/>
                <w:highlight w:val="none"/>
              </w:rPr>
              <w:t>尺蠖、角胸叶甲</w:t>
            </w:r>
          </w:p>
        </w:tc>
        <w:tc>
          <w:tcPr>
            <w:tcW w:w="3375" w:type="dxa"/>
            <w:vAlign w:val="center"/>
          </w:tcPr>
          <w:p w14:paraId="3C44EB05">
            <w:pPr>
              <w:pStyle w:val="230"/>
              <w:spacing w:before="68" w:line="286" w:lineRule="auto"/>
              <w:ind w:right="50"/>
              <w:jc w:val="both"/>
              <w:rPr>
                <w:rFonts w:hint="eastAsia" w:eastAsia="宋体"/>
                <w:highlight w:val="none"/>
                <w:lang w:eastAsia="zh-CN"/>
              </w:rPr>
            </w:pPr>
            <w:r>
              <w:rPr>
                <w:rFonts w:hint="eastAsia"/>
                <w:spacing w:val="-12"/>
                <w:highlight w:val="none"/>
                <w:lang w:val="en-US" w:eastAsia="zh-CN"/>
              </w:rPr>
              <w:t>每</w:t>
            </w:r>
            <w:r>
              <w:rPr>
                <w:spacing w:val="-12"/>
                <w:highlight w:val="none"/>
              </w:rPr>
              <w:t>667</w:t>
            </w:r>
            <w:r>
              <w:rPr>
                <w:rFonts w:hint="eastAsia"/>
                <w:spacing w:val="-12"/>
                <w:highlight w:val="none"/>
                <w:lang w:val="en-US" w:eastAsia="zh-CN"/>
              </w:rPr>
              <w:t xml:space="preserve"> </w:t>
            </w:r>
            <w:r>
              <w:rPr>
                <w:spacing w:val="-12"/>
                <w:highlight w:val="none"/>
              </w:rPr>
              <w:t>m</w:t>
            </w:r>
            <w:r>
              <w:rPr>
                <w:spacing w:val="8"/>
                <w:position w:val="9"/>
                <w:sz w:val="8"/>
                <w:szCs w:val="8"/>
                <w:highlight w:val="none"/>
              </w:rPr>
              <w:t>2</w:t>
            </w:r>
            <w:r>
              <w:rPr>
                <w:spacing w:val="-7"/>
                <w:highlight w:val="none"/>
              </w:rPr>
              <w:t>使用量</w:t>
            </w:r>
            <w:r>
              <w:rPr>
                <w:spacing w:val="-22"/>
                <w:highlight w:val="none"/>
              </w:rPr>
              <w:t xml:space="preserve"> </w:t>
            </w:r>
            <w:r>
              <w:rPr>
                <w:spacing w:val="-7"/>
                <w:highlight w:val="none"/>
              </w:rPr>
              <w:t>100</w:t>
            </w:r>
            <w:r>
              <w:rPr>
                <w:rFonts w:hint="eastAsia"/>
                <w:spacing w:val="-7"/>
                <w:highlight w:val="none"/>
                <w:lang w:val="en-US" w:eastAsia="zh-CN"/>
              </w:rPr>
              <w:t xml:space="preserve"> </w:t>
            </w:r>
            <w:r>
              <w:rPr>
                <w:spacing w:val="-7"/>
                <w:highlight w:val="none"/>
              </w:rPr>
              <w:t>m</w:t>
            </w:r>
            <w:r>
              <w:rPr>
                <w:rFonts w:hint="eastAsia"/>
                <w:spacing w:val="-7"/>
                <w:highlight w:val="none"/>
                <w:lang w:val="en-US" w:eastAsia="zh-CN"/>
              </w:rPr>
              <w:t>L</w:t>
            </w:r>
            <w:r>
              <w:rPr>
                <w:spacing w:val="-7"/>
                <w:highlight w:val="none"/>
              </w:rPr>
              <w:t>，稀释</w:t>
            </w:r>
            <w:r>
              <w:rPr>
                <w:spacing w:val="-44"/>
                <w:highlight w:val="none"/>
              </w:rPr>
              <w:t xml:space="preserve">  </w:t>
            </w:r>
            <w:r>
              <w:rPr>
                <w:spacing w:val="-7"/>
                <w:highlight w:val="none"/>
              </w:rPr>
              <w:t>800</w:t>
            </w:r>
            <w:r>
              <w:rPr>
                <w:spacing w:val="-8"/>
                <w:highlight w:val="none"/>
              </w:rPr>
              <w:t>～1</w:t>
            </w:r>
            <w:r>
              <w:rPr>
                <w:rFonts w:hint="eastAsia"/>
                <w:spacing w:val="-8"/>
                <w:highlight w:val="none"/>
                <w:lang w:val="en-US" w:eastAsia="zh-CN"/>
              </w:rPr>
              <w:t xml:space="preserve"> </w:t>
            </w:r>
            <w:r>
              <w:rPr>
                <w:spacing w:val="-8"/>
                <w:highlight w:val="none"/>
              </w:rPr>
              <w:t>000</w:t>
            </w:r>
            <w:r>
              <w:rPr>
                <w:spacing w:val="-29"/>
                <w:highlight w:val="none"/>
              </w:rPr>
              <w:t xml:space="preserve"> </w:t>
            </w:r>
            <w:r>
              <w:rPr>
                <w:spacing w:val="-8"/>
                <w:highlight w:val="none"/>
              </w:rPr>
              <w:t>倍均匀喷雾。</w:t>
            </w:r>
          </w:p>
        </w:tc>
        <w:tc>
          <w:tcPr>
            <w:tcW w:w="1713" w:type="dxa"/>
            <w:vMerge w:val="continue"/>
            <w:tcBorders>
              <w:right w:val="single" w:color="000000" w:sz="6" w:space="0"/>
            </w:tcBorders>
            <w:vAlign w:val="top"/>
          </w:tcPr>
          <w:p w14:paraId="6F0A4B20">
            <w:pPr>
              <w:pStyle w:val="230"/>
              <w:spacing w:before="223" w:line="270" w:lineRule="auto"/>
              <w:ind w:right="52"/>
              <w:jc w:val="center"/>
              <w:rPr>
                <w:highlight w:val="none"/>
              </w:rPr>
            </w:pPr>
          </w:p>
        </w:tc>
      </w:tr>
      <w:tr w14:paraId="29B218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jc w:val="center"/>
        </w:trPr>
        <w:tc>
          <w:tcPr>
            <w:tcW w:w="549" w:type="dxa"/>
            <w:tcBorders>
              <w:left w:val="single" w:color="000000" w:sz="6" w:space="0"/>
            </w:tcBorders>
            <w:vAlign w:val="center"/>
          </w:tcPr>
          <w:p w14:paraId="56957AC1">
            <w:pPr>
              <w:pStyle w:val="230"/>
              <w:spacing w:before="251" w:line="184" w:lineRule="auto"/>
              <w:jc w:val="center"/>
              <w:rPr>
                <w:highlight w:val="none"/>
              </w:rPr>
            </w:pPr>
            <w:r>
              <w:rPr>
                <w:spacing w:val="-7"/>
                <w:highlight w:val="none"/>
              </w:rPr>
              <w:t>1.3</w:t>
            </w:r>
          </w:p>
        </w:tc>
        <w:tc>
          <w:tcPr>
            <w:tcW w:w="1483" w:type="dxa"/>
            <w:vAlign w:val="center"/>
          </w:tcPr>
          <w:p w14:paraId="753EC60E">
            <w:pPr>
              <w:pStyle w:val="230"/>
              <w:spacing w:before="224" w:line="219" w:lineRule="auto"/>
              <w:jc w:val="center"/>
              <w:rPr>
                <w:highlight w:val="none"/>
              </w:rPr>
            </w:pPr>
            <w:r>
              <w:rPr>
                <w:spacing w:val="-2"/>
                <w:highlight w:val="none"/>
              </w:rPr>
              <w:t>球孢白僵菌</w:t>
            </w:r>
          </w:p>
        </w:tc>
        <w:tc>
          <w:tcPr>
            <w:tcW w:w="2029" w:type="dxa"/>
            <w:vAlign w:val="center"/>
          </w:tcPr>
          <w:p w14:paraId="4805FF5C">
            <w:pPr>
              <w:pStyle w:val="230"/>
              <w:spacing w:before="68" w:line="269" w:lineRule="auto"/>
              <w:ind w:right="55"/>
              <w:jc w:val="center"/>
              <w:rPr>
                <w:highlight w:val="none"/>
              </w:rPr>
            </w:pPr>
            <w:r>
              <w:rPr>
                <w:spacing w:val="-8"/>
                <w:highlight w:val="none"/>
              </w:rPr>
              <w:t>茶毛虫、茶尺蠖、小绿</w:t>
            </w:r>
            <w:r>
              <w:rPr>
                <w:spacing w:val="-2"/>
                <w:highlight w:val="none"/>
              </w:rPr>
              <w:t>叶蝉、粉虱、角胸叶甲</w:t>
            </w:r>
          </w:p>
        </w:tc>
        <w:tc>
          <w:tcPr>
            <w:tcW w:w="3375" w:type="dxa"/>
            <w:vAlign w:val="center"/>
          </w:tcPr>
          <w:p w14:paraId="0616B354">
            <w:pPr>
              <w:pStyle w:val="230"/>
              <w:spacing w:before="67" w:line="270" w:lineRule="auto"/>
              <w:ind w:right="51"/>
              <w:jc w:val="left"/>
              <w:rPr>
                <w:rFonts w:hint="eastAsia" w:eastAsia="宋体"/>
                <w:highlight w:val="none"/>
                <w:lang w:eastAsia="zh-CN"/>
              </w:rPr>
            </w:pPr>
            <w:r>
              <w:rPr>
                <w:rFonts w:hint="eastAsia"/>
                <w:spacing w:val="-12"/>
                <w:highlight w:val="none"/>
                <w:lang w:val="en-US" w:eastAsia="zh-CN"/>
              </w:rPr>
              <w:t>每</w:t>
            </w:r>
            <w:r>
              <w:rPr>
                <w:spacing w:val="-12"/>
                <w:highlight w:val="none"/>
              </w:rPr>
              <w:t>667</w:t>
            </w:r>
            <w:r>
              <w:rPr>
                <w:rFonts w:hint="eastAsia"/>
                <w:spacing w:val="-12"/>
                <w:highlight w:val="none"/>
                <w:lang w:val="en-US" w:eastAsia="zh-CN"/>
              </w:rPr>
              <w:t xml:space="preserve"> </w:t>
            </w:r>
            <w:r>
              <w:rPr>
                <w:spacing w:val="-12"/>
                <w:highlight w:val="none"/>
              </w:rPr>
              <w:t>m</w:t>
            </w:r>
            <w:r>
              <w:rPr>
                <w:spacing w:val="8"/>
                <w:position w:val="9"/>
                <w:sz w:val="8"/>
                <w:szCs w:val="8"/>
                <w:highlight w:val="none"/>
              </w:rPr>
              <w:t>2</w:t>
            </w:r>
            <w:r>
              <w:rPr>
                <w:spacing w:val="-4"/>
                <w:highlight w:val="none"/>
              </w:rPr>
              <w:t>使用100</w:t>
            </w:r>
            <w:r>
              <w:rPr>
                <w:rFonts w:hint="eastAsia"/>
                <w:spacing w:val="-4"/>
                <w:highlight w:val="none"/>
                <w:lang w:val="en-US" w:eastAsia="zh-CN"/>
              </w:rPr>
              <w:t xml:space="preserve"> </w:t>
            </w:r>
            <w:r>
              <w:rPr>
                <w:spacing w:val="-47"/>
                <w:highlight w:val="none"/>
              </w:rPr>
              <w:t xml:space="preserve"> </w:t>
            </w:r>
            <w:r>
              <w:rPr>
                <w:spacing w:val="-4"/>
                <w:highlight w:val="none"/>
              </w:rPr>
              <w:t>g，兑水喷雾</w:t>
            </w:r>
            <w:r>
              <w:rPr>
                <w:highlight w:val="none"/>
              </w:rPr>
              <w:t xml:space="preserve"> </w:t>
            </w:r>
            <w:r>
              <w:rPr>
                <w:spacing w:val="-6"/>
                <w:highlight w:val="none"/>
              </w:rPr>
              <w:t>1～2</w:t>
            </w:r>
            <w:r>
              <w:rPr>
                <w:spacing w:val="-33"/>
                <w:highlight w:val="none"/>
              </w:rPr>
              <w:t xml:space="preserve"> </w:t>
            </w:r>
            <w:r>
              <w:rPr>
                <w:spacing w:val="-6"/>
                <w:highlight w:val="none"/>
              </w:rPr>
              <w:t>次</w:t>
            </w:r>
            <w:r>
              <w:rPr>
                <w:rFonts w:hint="eastAsia"/>
                <w:spacing w:val="-6"/>
                <w:highlight w:val="none"/>
                <w:lang w:eastAsia="zh-CN"/>
              </w:rPr>
              <w:t>。</w:t>
            </w:r>
          </w:p>
        </w:tc>
        <w:tc>
          <w:tcPr>
            <w:tcW w:w="1713" w:type="dxa"/>
            <w:vMerge w:val="continue"/>
            <w:tcBorders>
              <w:right w:val="single" w:color="000000" w:sz="6" w:space="0"/>
            </w:tcBorders>
            <w:vAlign w:val="top"/>
          </w:tcPr>
          <w:p w14:paraId="0FC083E4">
            <w:pPr>
              <w:pStyle w:val="230"/>
              <w:spacing w:before="224" w:line="219" w:lineRule="auto"/>
              <w:jc w:val="center"/>
              <w:rPr>
                <w:highlight w:val="none"/>
              </w:rPr>
            </w:pPr>
          </w:p>
        </w:tc>
      </w:tr>
      <w:tr w14:paraId="572E17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jc w:val="center"/>
        </w:trPr>
        <w:tc>
          <w:tcPr>
            <w:tcW w:w="549" w:type="dxa"/>
            <w:tcBorders>
              <w:left w:val="single" w:color="000000" w:sz="6" w:space="0"/>
            </w:tcBorders>
            <w:vAlign w:val="center"/>
          </w:tcPr>
          <w:p w14:paraId="3106ECC0">
            <w:pPr>
              <w:pStyle w:val="230"/>
              <w:spacing w:before="254" w:line="184" w:lineRule="auto"/>
              <w:jc w:val="center"/>
              <w:rPr>
                <w:highlight w:val="none"/>
              </w:rPr>
            </w:pPr>
            <w:r>
              <w:rPr>
                <w:spacing w:val="-7"/>
                <w:highlight w:val="none"/>
              </w:rPr>
              <w:t>1.4</w:t>
            </w:r>
          </w:p>
        </w:tc>
        <w:tc>
          <w:tcPr>
            <w:tcW w:w="1483" w:type="dxa"/>
            <w:vAlign w:val="center"/>
          </w:tcPr>
          <w:p w14:paraId="5EFBE675">
            <w:pPr>
              <w:pStyle w:val="230"/>
              <w:spacing w:before="58" w:line="219" w:lineRule="auto"/>
              <w:jc w:val="center"/>
              <w:rPr>
                <w:spacing w:val="-1"/>
                <w:highlight w:val="none"/>
              </w:rPr>
            </w:pPr>
            <w:r>
              <w:rPr>
                <w:spacing w:val="-1"/>
                <w:highlight w:val="none"/>
              </w:rPr>
              <w:t>食螨+白僵菌</w:t>
            </w:r>
          </w:p>
        </w:tc>
        <w:tc>
          <w:tcPr>
            <w:tcW w:w="2029" w:type="dxa"/>
            <w:vAlign w:val="center"/>
          </w:tcPr>
          <w:p w14:paraId="2AC5A03E">
            <w:pPr>
              <w:pStyle w:val="230"/>
              <w:spacing w:before="58" w:line="219" w:lineRule="auto"/>
              <w:jc w:val="center"/>
              <w:rPr>
                <w:spacing w:val="-1"/>
                <w:highlight w:val="none"/>
              </w:rPr>
            </w:pPr>
            <w:r>
              <w:rPr>
                <w:spacing w:val="-1"/>
                <w:highlight w:val="none"/>
              </w:rPr>
              <w:t>茶毛虫、茶尺蠖、粉虱</w:t>
            </w:r>
          </w:p>
        </w:tc>
        <w:tc>
          <w:tcPr>
            <w:tcW w:w="3375" w:type="dxa"/>
            <w:vAlign w:val="center"/>
          </w:tcPr>
          <w:p w14:paraId="47DAED8C">
            <w:pPr>
              <w:pStyle w:val="230"/>
              <w:spacing w:before="69" w:line="272" w:lineRule="auto"/>
              <w:ind w:right="112"/>
              <w:jc w:val="both"/>
              <w:rPr>
                <w:highlight w:val="none"/>
              </w:rPr>
            </w:pPr>
            <w:r>
              <w:rPr>
                <w:rFonts w:hint="eastAsia"/>
                <w:spacing w:val="-12"/>
                <w:highlight w:val="none"/>
                <w:lang w:val="en-US" w:eastAsia="zh-CN"/>
              </w:rPr>
              <w:t>每</w:t>
            </w:r>
            <w:r>
              <w:rPr>
                <w:spacing w:val="-12"/>
                <w:highlight w:val="none"/>
              </w:rPr>
              <w:t>667</w:t>
            </w:r>
            <w:r>
              <w:rPr>
                <w:rFonts w:hint="eastAsia"/>
                <w:spacing w:val="-12"/>
                <w:highlight w:val="none"/>
                <w:lang w:val="en-US" w:eastAsia="zh-CN"/>
              </w:rPr>
              <w:t xml:space="preserve"> </w:t>
            </w:r>
            <w:r>
              <w:rPr>
                <w:spacing w:val="-12"/>
                <w:highlight w:val="none"/>
              </w:rPr>
              <w:t>m</w:t>
            </w:r>
            <w:r>
              <w:rPr>
                <w:spacing w:val="8"/>
                <w:position w:val="9"/>
                <w:sz w:val="8"/>
                <w:szCs w:val="8"/>
                <w:highlight w:val="none"/>
              </w:rPr>
              <w:t>2</w:t>
            </w:r>
            <w:r>
              <w:rPr>
                <w:rFonts w:hint="eastAsia"/>
                <w:spacing w:val="-12"/>
                <w:highlight w:val="none"/>
                <w:lang w:val="en-US" w:eastAsia="zh-CN"/>
              </w:rPr>
              <w:t>撒施 2～3 袋（5 万只/袋）。</w:t>
            </w:r>
          </w:p>
        </w:tc>
        <w:tc>
          <w:tcPr>
            <w:tcW w:w="1713" w:type="dxa"/>
            <w:vMerge w:val="continue"/>
            <w:tcBorders>
              <w:right w:val="single" w:color="000000" w:sz="6" w:space="0"/>
            </w:tcBorders>
            <w:vAlign w:val="top"/>
          </w:tcPr>
          <w:p w14:paraId="0D278C57">
            <w:pPr>
              <w:pStyle w:val="230"/>
              <w:spacing w:before="227" w:line="219" w:lineRule="auto"/>
              <w:jc w:val="center"/>
              <w:rPr>
                <w:highlight w:val="none"/>
              </w:rPr>
            </w:pPr>
          </w:p>
        </w:tc>
      </w:tr>
      <w:tr w14:paraId="6D239F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0" w:hRule="atLeast"/>
          <w:jc w:val="center"/>
        </w:trPr>
        <w:tc>
          <w:tcPr>
            <w:tcW w:w="549" w:type="dxa"/>
            <w:tcBorders>
              <w:left w:val="single" w:color="000000" w:sz="6" w:space="0"/>
            </w:tcBorders>
            <w:vAlign w:val="center"/>
          </w:tcPr>
          <w:p w14:paraId="16877B4F">
            <w:pPr>
              <w:pStyle w:val="230"/>
              <w:spacing w:before="255" w:line="184" w:lineRule="auto"/>
              <w:ind w:left="149"/>
              <w:jc w:val="both"/>
              <w:rPr>
                <w:highlight w:val="none"/>
              </w:rPr>
            </w:pPr>
            <w:r>
              <w:rPr>
                <w:spacing w:val="-7"/>
                <w:highlight w:val="none"/>
              </w:rPr>
              <w:t>1.5</w:t>
            </w:r>
          </w:p>
        </w:tc>
        <w:tc>
          <w:tcPr>
            <w:tcW w:w="1483" w:type="dxa"/>
            <w:vAlign w:val="center"/>
          </w:tcPr>
          <w:p w14:paraId="7F63B1ED">
            <w:pPr>
              <w:pStyle w:val="230"/>
              <w:spacing w:before="72" w:line="269" w:lineRule="auto"/>
              <w:ind w:left="562" w:right="114" w:hanging="451"/>
              <w:jc w:val="left"/>
              <w:rPr>
                <w:highlight w:val="none"/>
              </w:rPr>
            </w:pPr>
            <w:r>
              <w:rPr>
                <w:spacing w:val="-1"/>
                <w:highlight w:val="none"/>
              </w:rPr>
              <w:t>0.3%印楝素可溶</w:t>
            </w:r>
            <w:r>
              <w:rPr>
                <w:spacing w:val="-5"/>
                <w:highlight w:val="none"/>
              </w:rPr>
              <w:t>液剂</w:t>
            </w:r>
          </w:p>
        </w:tc>
        <w:tc>
          <w:tcPr>
            <w:tcW w:w="2029" w:type="dxa"/>
            <w:vAlign w:val="center"/>
          </w:tcPr>
          <w:p w14:paraId="5F87ABF7">
            <w:pPr>
              <w:pStyle w:val="230"/>
              <w:spacing w:before="228" w:line="219" w:lineRule="auto"/>
              <w:jc w:val="center"/>
              <w:rPr>
                <w:highlight w:val="none"/>
              </w:rPr>
            </w:pPr>
            <w:r>
              <w:rPr>
                <w:spacing w:val="-2"/>
                <w:highlight w:val="none"/>
              </w:rPr>
              <w:t>小绿叶蝉、螨类</w:t>
            </w:r>
          </w:p>
        </w:tc>
        <w:tc>
          <w:tcPr>
            <w:tcW w:w="3375" w:type="dxa"/>
            <w:vAlign w:val="center"/>
          </w:tcPr>
          <w:p w14:paraId="55458E7B">
            <w:pPr>
              <w:pStyle w:val="230"/>
              <w:spacing w:before="69" w:line="271" w:lineRule="auto"/>
              <w:ind w:right="66"/>
              <w:jc w:val="both"/>
              <w:rPr>
                <w:rFonts w:hint="eastAsia" w:eastAsia="宋体"/>
                <w:highlight w:val="none"/>
                <w:lang w:eastAsia="zh-CN"/>
              </w:rPr>
            </w:pPr>
            <w:r>
              <w:rPr>
                <w:rFonts w:hint="eastAsia"/>
                <w:spacing w:val="-12"/>
                <w:highlight w:val="none"/>
                <w:lang w:val="en-US" w:eastAsia="zh-CN"/>
              </w:rPr>
              <w:t>每</w:t>
            </w:r>
            <w:r>
              <w:rPr>
                <w:spacing w:val="-12"/>
                <w:highlight w:val="none"/>
              </w:rPr>
              <w:t>667</w:t>
            </w:r>
            <w:r>
              <w:rPr>
                <w:rFonts w:hint="eastAsia"/>
                <w:spacing w:val="-12"/>
                <w:highlight w:val="none"/>
                <w:lang w:val="en-US" w:eastAsia="zh-CN"/>
              </w:rPr>
              <w:t xml:space="preserve"> </w:t>
            </w:r>
            <w:r>
              <w:rPr>
                <w:spacing w:val="-12"/>
                <w:highlight w:val="none"/>
              </w:rPr>
              <w:t>m</w:t>
            </w:r>
            <w:r>
              <w:rPr>
                <w:spacing w:val="8"/>
                <w:position w:val="9"/>
                <w:sz w:val="8"/>
                <w:szCs w:val="8"/>
                <w:highlight w:val="none"/>
              </w:rPr>
              <w:t>2</w:t>
            </w:r>
            <w:r>
              <w:rPr>
                <w:spacing w:val="-7"/>
                <w:highlight w:val="none"/>
              </w:rPr>
              <w:t>使用量100</w:t>
            </w:r>
            <w:r>
              <w:rPr>
                <w:rFonts w:hint="eastAsia"/>
                <w:spacing w:val="-7"/>
                <w:highlight w:val="none"/>
                <w:lang w:val="en-US" w:eastAsia="zh-CN"/>
              </w:rPr>
              <w:t xml:space="preserve"> </w:t>
            </w:r>
            <w:r>
              <w:rPr>
                <w:spacing w:val="-7"/>
                <w:highlight w:val="none"/>
              </w:rPr>
              <w:t>m</w:t>
            </w:r>
            <w:r>
              <w:rPr>
                <w:rFonts w:hint="eastAsia"/>
                <w:spacing w:val="-7"/>
                <w:highlight w:val="none"/>
                <w:lang w:val="en-US" w:eastAsia="zh-CN"/>
              </w:rPr>
              <w:t>L</w:t>
            </w:r>
            <w:r>
              <w:rPr>
                <w:spacing w:val="-7"/>
                <w:highlight w:val="none"/>
              </w:rPr>
              <w:t>，稀释</w:t>
            </w:r>
            <w:r>
              <w:rPr>
                <w:spacing w:val="-44"/>
                <w:highlight w:val="none"/>
              </w:rPr>
              <w:t xml:space="preserve">  </w:t>
            </w:r>
            <w:r>
              <w:rPr>
                <w:spacing w:val="-7"/>
                <w:highlight w:val="none"/>
              </w:rPr>
              <w:t>800</w:t>
            </w:r>
            <w:r>
              <w:rPr>
                <w:rFonts w:hint="eastAsia"/>
                <w:color w:val="auto"/>
                <w:highlight w:val="none"/>
              </w:rPr>
              <w:t>～</w:t>
            </w:r>
            <w:r>
              <w:rPr>
                <w:spacing w:val="-8"/>
                <w:highlight w:val="none"/>
              </w:rPr>
              <w:t>1</w:t>
            </w:r>
            <w:r>
              <w:rPr>
                <w:rFonts w:hint="eastAsia"/>
                <w:spacing w:val="-8"/>
                <w:highlight w:val="none"/>
                <w:lang w:val="en-US" w:eastAsia="zh-CN"/>
              </w:rPr>
              <w:t xml:space="preserve"> </w:t>
            </w:r>
            <w:r>
              <w:rPr>
                <w:spacing w:val="-8"/>
                <w:highlight w:val="none"/>
              </w:rPr>
              <w:t>000</w:t>
            </w:r>
            <w:r>
              <w:rPr>
                <w:spacing w:val="-29"/>
                <w:highlight w:val="none"/>
              </w:rPr>
              <w:t xml:space="preserve">  </w:t>
            </w:r>
            <w:r>
              <w:rPr>
                <w:spacing w:val="-3"/>
                <w:highlight w:val="none"/>
              </w:rPr>
              <w:t>倍均匀喷雾</w:t>
            </w:r>
            <w:r>
              <w:rPr>
                <w:rFonts w:hint="eastAsia"/>
                <w:spacing w:val="-3"/>
                <w:highlight w:val="none"/>
                <w:lang w:eastAsia="zh-CN"/>
              </w:rPr>
              <w:t>。</w:t>
            </w:r>
          </w:p>
        </w:tc>
        <w:tc>
          <w:tcPr>
            <w:tcW w:w="1713" w:type="dxa"/>
            <w:vMerge w:val="continue"/>
            <w:tcBorders>
              <w:right w:val="single" w:color="000000" w:sz="6" w:space="0"/>
            </w:tcBorders>
            <w:vAlign w:val="center"/>
          </w:tcPr>
          <w:p w14:paraId="04FF0D14">
            <w:pPr>
              <w:pStyle w:val="230"/>
              <w:spacing w:before="227" w:line="220" w:lineRule="auto"/>
              <w:jc w:val="center"/>
              <w:rPr>
                <w:highlight w:val="none"/>
              </w:rPr>
            </w:pPr>
          </w:p>
        </w:tc>
      </w:tr>
      <w:tr w14:paraId="58A7DE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4" w:hRule="atLeast"/>
          <w:jc w:val="center"/>
        </w:trPr>
        <w:tc>
          <w:tcPr>
            <w:tcW w:w="549" w:type="dxa"/>
            <w:tcBorders>
              <w:left w:val="single" w:color="000000" w:sz="6" w:space="0"/>
            </w:tcBorders>
            <w:vAlign w:val="top"/>
          </w:tcPr>
          <w:p w14:paraId="1F63CCE3">
            <w:pPr>
              <w:spacing w:line="351" w:lineRule="auto"/>
              <w:jc w:val="both"/>
              <w:rPr>
                <w:rFonts w:ascii="Arial"/>
                <w:sz w:val="21"/>
                <w:highlight w:val="none"/>
              </w:rPr>
            </w:pPr>
          </w:p>
          <w:p w14:paraId="2A2E45B0">
            <w:pPr>
              <w:pStyle w:val="230"/>
              <w:spacing w:before="58" w:line="184" w:lineRule="auto"/>
              <w:ind w:left="149"/>
              <w:jc w:val="both"/>
              <w:rPr>
                <w:highlight w:val="none"/>
              </w:rPr>
            </w:pPr>
            <w:r>
              <w:rPr>
                <w:spacing w:val="-7"/>
                <w:highlight w:val="none"/>
              </w:rPr>
              <w:t>1.6</w:t>
            </w:r>
          </w:p>
        </w:tc>
        <w:tc>
          <w:tcPr>
            <w:tcW w:w="1483" w:type="dxa"/>
            <w:vAlign w:val="center"/>
          </w:tcPr>
          <w:p w14:paraId="16E507BC">
            <w:pPr>
              <w:pStyle w:val="230"/>
              <w:spacing w:before="58" w:line="219" w:lineRule="auto"/>
              <w:jc w:val="center"/>
              <w:rPr>
                <w:highlight w:val="none"/>
              </w:rPr>
            </w:pPr>
            <w:r>
              <w:rPr>
                <w:spacing w:val="-3"/>
                <w:highlight w:val="none"/>
              </w:rPr>
              <w:t>1.5%除虫菊素</w:t>
            </w:r>
          </w:p>
        </w:tc>
        <w:tc>
          <w:tcPr>
            <w:tcW w:w="2029" w:type="dxa"/>
            <w:vAlign w:val="center"/>
          </w:tcPr>
          <w:p w14:paraId="2B58724E">
            <w:pPr>
              <w:pStyle w:val="230"/>
              <w:spacing w:before="228" w:line="269" w:lineRule="auto"/>
              <w:jc w:val="center"/>
              <w:rPr>
                <w:highlight w:val="none"/>
              </w:rPr>
            </w:pPr>
            <w:r>
              <w:rPr>
                <w:spacing w:val="-2"/>
                <w:highlight w:val="none"/>
              </w:rPr>
              <w:t>小绿叶蝉、茶蚜、粉虱、角胸叶甲</w:t>
            </w:r>
          </w:p>
        </w:tc>
        <w:tc>
          <w:tcPr>
            <w:tcW w:w="3375" w:type="dxa"/>
            <w:vAlign w:val="center"/>
          </w:tcPr>
          <w:p w14:paraId="57BC8332">
            <w:pPr>
              <w:pStyle w:val="230"/>
              <w:spacing w:before="73" w:line="286" w:lineRule="auto"/>
              <w:ind w:right="50"/>
              <w:jc w:val="both"/>
              <w:rPr>
                <w:rFonts w:hint="eastAsia" w:eastAsia="宋体"/>
                <w:highlight w:val="none"/>
                <w:lang w:eastAsia="zh-CN"/>
              </w:rPr>
            </w:pPr>
            <w:r>
              <w:rPr>
                <w:rFonts w:hint="eastAsia"/>
                <w:spacing w:val="-12"/>
                <w:highlight w:val="none"/>
                <w:lang w:val="en-US" w:eastAsia="zh-CN"/>
              </w:rPr>
              <w:t>每</w:t>
            </w:r>
            <w:r>
              <w:rPr>
                <w:spacing w:val="-12"/>
                <w:highlight w:val="none"/>
              </w:rPr>
              <w:t>667</w:t>
            </w:r>
            <w:r>
              <w:rPr>
                <w:rFonts w:hint="eastAsia"/>
                <w:spacing w:val="-12"/>
                <w:highlight w:val="none"/>
                <w:lang w:val="en-US" w:eastAsia="zh-CN"/>
              </w:rPr>
              <w:t xml:space="preserve"> </w:t>
            </w:r>
            <w:r>
              <w:rPr>
                <w:spacing w:val="-12"/>
                <w:highlight w:val="none"/>
              </w:rPr>
              <w:t>m</w:t>
            </w:r>
            <w:r>
              <w:rPr>
                <w:spacing w:val="8"/>
                <w:position w:val="9"/>
                <w:sz w:val="8"/>
                <w:szCs w:val="8"/>
                <w:highlight w:val="none"/>
              </w:rPr>
              <w:t>2</w:t>
            </w:r>
            <w:r>
              <w:rPr>
                <w:spacing w:val="-7"/>
                <w:highlight w:val="none"/>
              </w:rPr>
              <w:t>使用量</w:t>
            </w:r>
            <w:r>
              <w:rPr>
                <w:spacing w:val="-22"/>
                <w:highlight w:val="none"/>
              </w:rPr>
              <w:t xml:space="preserve"> </w:t>
            </w:r>
            <w:r>
              <w:rPr>
                <w:spacing w:val="-7"/>
                <w:highlight w:val="none"/>
              </w:rPr>
              <w:t>100</w:t>
            </w:r>
            <w:r>
              <w:rPr>
                <w:rFonts w:hint="eastAsia"/>
                <w:spacing w:val="-7"/>
                <w:highlight w:val="none"/>
                <w:lang w:val="en-US" w:eastAsia="zh-CN"/>
              </w:rPr>
              <w:t xml:space="preserve"> </w:t>
            </w:r>
            <w:r>
              <w:rPr>
                <w:spacing w:val="-7"/>
                <w:highlight w:val="none"/>
              </w:rPr>
              <w:t>m</w:t>
            </w:r>
            <w:r>
              <w:rPr>
                <w:rFonts w:hint="eastAsia"/>
                <w:spacing w:val="-7"/>
                <w:highlight w:val="none"/>
                <w:lang w:val="en-US" w:eastAsia="zh-CN"/>
              </w:rPr>
              <w:t>L</w:t>
            </w:r>
            <w:r>
              <w:rPr>
                <w:spacing w:val="-7"/>
                <w:highlight w:val="none"/>
              </w:rPr>
              <w:t>，稀释</w:t>
            </w:r>
            <w:r>
              <w:rPr>
                <w:spacing w:val="-44"/>
                <w:highlight w:val="none"/>
              </w:rPr>
              <w:t xml:space="preserve">  </w:t>
            </w:r>
            <w:r>
              <w:rPr>
                <w:spacing w:val="-7"/>
                <w:highlight w:val="none"/>
              </w:rPr>
              <w:t>800</w:t>
            </w:r>
            <w:r>
              <w:rPr>
                <w:rFonts w:hint="eastAsia"/>
                <w:color w:val="auto"/>
                <w:highlight w:val="none"/>
              </w:rPr>
              <w:t>～</w:t>
            </w:r>
            <w:r>
              <w:rPr>
                <w:spacing w:val="-8"/>
                <w:highlight w:val="none"/>
              </w:rPr>
              <w:t>1</w:t>
            </w:r>
            <w:r>
              <w:rPr>
                <w:rFonts w:hint="eastAsia"/>
                <w:spacing w:val="-8"/>
                <w:highlight w:val="none"/>
                <w:lang w:val="en-US" w:eastAsia="zh-CN"/>
              </w:rPr>
              <w:t xml:space="preserve"> </w:t>
            </w:r>
            <w:r>
              <w:rPr>
                <w:spacing w:val="-8"/>
                <w:highlight w:val="none"/>
              </w:rPr>
              <w:t>000</w:t>
            </w:r>
            <w:r>
              <w:rPr>
                <w:spacing w:val="-29"/>
                <w:highlight w:val="none"/>
              </w:rPr>
              <w:t xml:space="preserve">  </w:t>
            </w:r>
            <w:r>
              <w:rPr>
                <w:rFonts w:hint="eastAsia"/>
                <w:spacing w:val="-29"/>
                <w:highlight w:val="none"/>
                <w:lang w:eastAsia="zh-CN"/>
              </w:rPr>
              <w:t>倍</w:t>
            </w:r>
            <w:r>
              <w:rPr>
                <w:rFonts w:hint="eastAsia"/>
                <w:spacing w:val="-29"/>
                <w:highlight w:val="none"/>
                <w:lang w:val="en-US" w:eastAsia="zh-CN"/>
              </w:rPr>
              <w:t xml:space="preserve">  </w:t>
            </w:r>
            <w:r>
              <w:rPr>
                <w:rFonts w:hint="eastAsia"/>
                <w:spacing w:val="-29"/>
                <w:highlight w:val="none"/>
                <w:lang w:eastAsia="zh-CN"/>
              </w:rPr>
              <w:t>均</w:t>
            </w:r>
            <w:r>
              <w:rPr>
                <w:rFonts w:hint="eastAsia"/>
                <w:spacing w:val="-29"/>
                <w:highlight w:val="none"/>
                <w:lang w:val="en-US" w:eastAsia="zh-CN"/>
              </w:rPr>
              <w:t xml:space="preserve">  </w:t>
            </w:r>
            <w:r>
              <w:rPr>
                <w:rFonts w:hint="eastAsia"/>
                <w:spacing w:val="-29"/>
                <w:highlight w:val="none"/>
                <w:lang w:eastAsia="zh-CN"/>
              </w:rPr>
              <w:t>匀</w:t>
            </w:r>
            <w:r>
              <w:rPr>
                <w:rFonts w:hint="eastAsia"/>
                <w:spacing w:val="-29"/>
                <w:highlight w:val="none"/>
                <w:lang w:val="en-US" w:eastAsia="zh-CN"/>
              </w:rPr>
              <w:t xml:space="preserve">  </w:t>
            </w:r>
            <w:r>
              <w:rPr>
                <w:spacing w:val="-8"/>
                <w:highlight w:val="none"/>
              </w:rPr>
              <w:t>喷雾。</w:t>
            </w:r>
          </w:p>
        </w:tc>
        <w:tc>
          <w:tcPr>
            <w:tcW w:w="1713" w:type="dxa"/>
            <w:vMerge w:val="continue"/>
            <w:tcBorders>
              <w:right w:val="single" w:color="000000" w:sz="6" w:space="0"/>
            </w:tcBorders>
            <w:vAlign w:val="top"/>
          </w:tcPr>
          <w:p w14:paraId="581B0CC9">
            <w:pPr>
              <w:pStyle w:val="230"/>
              <w:spacing w:before="59" w:line="220" w:lineRule="auto"/>
              <w:jc w:val="center"/>
              <w:rPr>
                <w:highlight w:val="none"/>
              </w:rPr>
            </w:pPr>
          </w:p>
        </w:tc>
      </w:tr>
      <w:tr w14:paraId="284B20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1" w:hRule="atLeast"/>
          <w:jc w:val="center"/>
        </w:trPr>
        <w:tc>
          <w:tcPr>
            <w:tcW w:w="549" w:type="dxa"/>
            <w:tcBorders>
              <w:left w:val="single" w:color="000000" w:sz="6" w:space="0"/>
            </w:tcBorders>
            <w:vAlign w:val="center"/>
          </w:tcPr>
          <w:p w14:paraId="2E36AFE0">
            <w:pPr>
              <w:pStyle w:val="230"/>
              <w:spacing w:before="256" w:line="184" w:lineRule="auto"/>
              <w:ind w:left="149"/>
              <w:jc w:val="both"/>
              <w:rPr>
                <w:highlight w:val="none"/>
              </w:rPr>
            </w:pPr>
            <w:r>
              <w:rPr>
                <w:spacing w:val="-7"/>
                <w:highlight w:val="none"/>
              </w:rPr>
              <w:t>1.7</w:t>
            </w:r>
          </w:p>
        </w:tc>
        <w:tc>
          <w:tcPr>
            <w:tcW w:w="1483" w:type="dxa"/>
            <w:vAlign w:val="center"/>
          </w:tcPr>
          <w:p w14:paraId="3A7153ED">
            <w:pPr>
              <w:pStyle w:val="230"/>
              <w:spacing w:before="73" w:line="269" w:lineRule="auto"/>
              <w:ind w:left="562" w:right="114" w:hanging="451"/>
              <w:jc w:val="left"/>
              <w:rPr>
                <w:highlight w:val="none"/>
              </w:rPr>
            </w:pPr>
            <w:r>
              <w:rPr>
                <w:spacing w:val="-1"/>
                <w:highlight w:val="none"/>
              </w:rPr>
              <w:t>0.5%</w:t>
            </w:r>
            <w:r>
              <w:rPr>
                <w:rFonts w:hint="eastAsia" w:ascii="宋体" w:hAnsi="宋体"/>
                <w:color w:val="auto"/>
                <w:kern w:val="0"/>
                <w:sz w:val="18"/>
                <w:szCs w:val="18"/>
                <w:highlight w:val="none"/>
              </w:rPr>
              <w:t>藜芦碱</w:t>
            </w:r>
            <w:r>
              <w:rPr>
                <w:spacing w:val="-1"/>
                <w:highlight w:val="none"/>
              </w:rPr>
              <w:t>可溶</w:t>
            </w:r>
            <w:r>
              <w:rPr>
                <w:spacing w:val="-5"/>
                <w:highlight w:val="none"/>
              </w:rPr>
              <w:t>液剂</w:t>
            </w:r>
          </w:p>
        </w:tc>
        <w:tc>
          <w:tcPr>
            <w:tcW w:w="2029" w:type="dxa"/>
            <w:vAlign w:val="center"/>
          </w:tcPr>
          <w:p w14:paraId="0534718F">
            <w:pPr>
              <w:pStyle w:val="230"/>
              <w:spacing w:before="72" w:line="270" w:lineRule="auto"/>
              <w:ind w:right="55"/>
              <w:jc w:val="center"/>
              <w:rPr>
                <w:highlight w:val="none"/>
              </w:rPr>
            </w:pPr>
            <w:r>
              <w:rPr>
                <w:spacing w:val="-7"/>
                <w:highlight w:val="none"/>
              </w:rPr>
              <w:t>茶蚜、丽纹象甲、小绿叶蝉、粉虱</w:t>
            </w:r>
          </w:p>
        </w:tc>
        <w:tc>
          <w:tcPr>
            <w:tcW w:w="3375" w:type="dxa"/>
            <w:vAlign w:val="center"/>
          </w:tcPr>
          <w:p w14:paraId="0F2654A7">
            <w:pPr>
              <w:pStyle w:val="230"/>
              <w:spacing w:before="73" w:line="270" w:lineRule="auto"/>
              <w:ind w:right="66"/>
              <w:jc w:val="both"/>
              <w:rPr>
                <w:rFonts w:hint="eastAsia" w:eastAsia="宋体"/>
                <w:highlight w:val="none"/>
                <w:lang w:eastAsia="zh-CN"/>
              </w:rPr>
            </w:pPr>
            <w:r>
              <w:rPr>
                <w:rFonts w:hint="eastAsia"/>
                <w:spacing w:val="-12"/>
                <w:highlight w:val="none"/>
                <w:lang w:val="en-US" w:eastAsia="zh-CN"/>
              </w:rPr>
              <w:t>每</w:t>
            </w:r>
            <w:r>
              <w:rPr>
                <w:spacing w:val="-12"/>
                <w:highlight w:val="none"/>
              </w:rPr>
              <w:t>667</w:t>
            </w:r>
            <w:r>
              <w:rPr>
                <w:rFonts w:hint="eastAsia"/>
                <w:spacing w:val="-12"/>
                <w:highlight w:val="none"/>
                <w:lang w:val="en-US" w:eastAsia="zh-CN"/>
              </w:rPr>
              <w:t xml:space="preserve"> </w:t>
            </w:r>
            <w:r>
              <w:rPr>
                <w:spacing w:val="-12"/>
                <w:highlight w:val="none"/>
              </w:rPr>
              <w:t>m</w:t>
            </w:r>
            <w:r>
              <w:rPr>
                <w:spacing w:val="8"/>
                <w:position w:val="9"/>
                <w:sz w:val="8"/>
                <w:szCs w:val="8"/>
                <w:highlight w:val="none"/>
              </w:rPr>
              <w:t>2</w:t>
            </w:r>
            <w:r>
              <w:rPr>
                <w:spacing w:val="-7"/>
                <w:highlight w:val="none"/>
              </w:rPr>
              <w:t>使用量</w:t>
            </w:r>
            <w:r>
              <w:rPr>
                <w:spacing w:val="-22"/>
                <w:highlight w:val="none"/>
              </w:rPr>
              <w:t xml:space="preserve"> </w:t>
            </w:r>
            <w:r>
              <w:rPr>
                <w:spacing w:val="-7"/>
                <w:highlight w:val="none"/>
              </w:rPr>
              <w:t>100</w:t>
            </w:r>
            <w:r>
              <w:rPr>
                <w:rFonts w:hint="eastAsia"/>
                <w:spacing w:val="-7"/>
                <w:highlight w:val="none"/>
                <w:lang w:val="en-US" w:eastAsia="zh-CN"/>
              </w:rPr>
              <w:t xml:space="preserve"> </w:t>
            </w:r>
            <w:r>
              <w:rPr>
                <w:spacing w:val="-7"/>
                <w:highlight w:val="none"/>
              </w:rPr>
              <w:t>m</w:t>
            </w:r>
            <w:r>
              <w:rPr>
                <w:rFonts w:hint="eastAsia"/>
                <w:spacing w:val="-7"/>
                <w:highlight w:val="none"/>
                <w:lang w:val="en-US" w:eastAsia="zh-CN"/>
              </w:rPr>
              <w:t>L</w:t>
            </w:r>
            <w:r>
              <w:rPr>
                <w:spacing w:val="-7"/>
                <w:highlight w:val="none"/>
              </w:rPr>
              <w:t>，稀释</w:t>
            </w:r>
            <w:r>
              <w:rPr>
                <w:spacing w:val="-44"/>
                <w:highlight w:val="none"/>
              </w:rPr>
              <w:t xml:space="preserve">  </w:t>
            </w:r>
            <w:r>
              <w:rPr>
                <w:spacing w:val="-7"/>
                <w:highlight w:val="none"/>
              </w:rPr>
              <w:t>800</w:t>
            </w:r>
            <w:r>
              <w:rPr>
                <w:rFonts w:hint="eastAsia"/>
                <w:color w:val="auto"/>
                <w:highlight w:val="none"/>
              </w:rPr>
              <w:t>～</w:t>
            </w:r>
            <w:r>
              <w:rPr>
                <w:spacing w:val="-8"/>
                <w:highlight w:val="none"/>
              </w:rPr>
              <w:t>1</w:t>
            </w:r>
            <w:r>
              <w:rPr>
                <w:rFonts w:hint="eastAsia"/>
                <w:spacing w:val="-8"/>
                <w:highlight w:val="none"/>
                <w:lang w:val="en-US" w:eastAsia="zh-CN"/>
              </w:rPr>
              <w:t xml:space="preserve"> </w:t>
            </w:r>
            <w:r>
              <w:rPr>
                <w:spacing w:val="-8"/>
                <w:highlight w:val="none"/>
              </w:rPr>
              <w:t>000</w:t>
            </w:r>
            <w:r>
              <w:rPr>
                <w:spacing w:val="-29"/>
                <w:highlight w:val="none"/>
              </w:rPr>
              <w:t xml:space="preserve">  </w:t>
            </w:r>
            <w:r>
              <w:rPr>
                <w:spacing w:val="-3"/>
                <w:highlight w:val="none"/>
              </w:rPr>
              <w:t>倍均匀喷雾</w:t>
            </w:r>
            <w:r>
              <w:rPr>
                <w:rFonts w:hint="eastAsia"/>
                <w:spacing w:val="-3"/>
                <w:highlight w:val="none"/>
                <w:lang w:eastAsia="zh-CN"/>
              </w:rPr>
              <w:t>。</w:t>
            </w:r>
          </w:p>
        </w:tc>
        <w:tc>
          <w:tcPr>
            <w:tcW w:w="1713" w:type="dxa"/>
            <w:vMerge w:val="continue"/>
            <w:tcBorders>
              <w:right w:val="single" w:color="000000" w:sz="6" w:space="0"/>
            </w:tcBorders>
            <w:vAlign w:val="center"/>
          </w:tcPr>
          <w:p w14:paraId="44F866B1">
            <w:pPr>
              <w:pStyle w:val="230"/>
              <w:spacing w:before="229" w:line="220" w:lineRule="auto"/>
              <w:jc w:val="center"/>
              <w:rPr>
                <w:highlight w:val="none"/>
              </w:rPr>
            </w:pPr>
          </w:p>
        </w:tc>
      </w:tr>
      <w:tr w14:paraId="1E72FD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24" w:hRule="atLeast"/>
          <w:jc w:val="center"/>
        </w:trPr>
        <w:tc>
          <w:tcPr>
            <w:tcW w:w="549" w:type="dxa"/>
            <w:tcBorders>
              <w:left w:val="single" w:color="000000" w:sz="6" w:space="0"/>
            </w:tcBorders>
            <w:vAlign w:val="center"/>
          </w:tcPr>
          <w:p w14:paraId="48DF92AC">
            <w:pPr>
              <w:pStyle w:val="230"/>
              <w:spacing w:before="257" w:line="184" w:lineRule="auto"/>
              <w:jc w:val="center"/>
              <w:rPr>
                <w:highlight w:val="none"/>
              </w:rPr>
            </w:pPr>
            <w:r>
              <w:rPr>
                <w:spacing w:val="-7"/>
                <w:highlight w:val="none"/>
              </w:rPr>
              <w:t>1.8</w:t>
            </w:r>
          </w:p>
        </w:tc>
        <w:tc>
          <w:tcPr>
            <w:tcW w:w="1483" w:type="dxa"/>
            <w:vAlign w:val="center"/>
          </w:tcPr>
          <w:p w14:paraId="6BBD685A">
            <w:pPr>
              <w:pStyle w:val="230"/>
              <w:spacing w:before="229" w:line="219" w:lineRule="auto"/>
              <w:jc w:val="center"/>
              <w:rPr>
                <w:highlight w:val="none"/>
              </w:rPr>
            </w:pPr>
            <w:r>
              <w:rPr>
                <w:spacing w:val="-2"/>
                <w:highlight w:val="none"/>
              </w:rPr>
              <w:t>95%矿物油乳油</w:t>
            </w:r>
          </w:p>
        </w:tc>
        <w:tc>
          <w:tcPr>
            <w:tcW w:w="2029" w:type="dxa"/>
            <w:vAlign w:val="center"/>
          </w:tcPr>
          <w:p w14:paraId="178B65CC">
            <w:pPr>
              <w:pStyle w:val="230"/>
              <w:spacing w:before="229" w:line="219" w:lineRule="auto"/>
              <w:jc w:val="center"/>
              <w:rPr>
                <w:highlight w:val="none"/>
              </w:rPr>
            </w:pPr>
            <w:r>
              <w:rPr>
                <w:spacing w:val="-7"/>
                <w:highlight w:val="none"/>
              </w:rPr>
              <w:t>粉虱、螨类、小绿叶蝉</w:t>
            </w:r>
          </w:p>
        </w:tc>
        <w:tc>
          <w:tcPr>
            <w:tcW w:w="3375" w:type="dxa"/>
            <w:vAlign w:val="center"/>
          </w:tcPr>
          <w:p w14:paraId="52899D93">
            <w:pPr>
              <w:pStyle w:val="230"/>
              <w:spacing w:before="73" w:line="270" w:lineRule="auto"/>
              <w:ind w:right="66"/>
              <w:jc w:val="left"/>
              <w:rPr>
                <w:rFonts w:hint="eastAsia" w:eastAsia="宋体"/>
                <w:highlight w:val="none"/>
                <w:lang w:eastAsia="zh-CN"/>
              </w:rPr>
            </w:pPr>
            <w:r>
              <w:rPr>
                <w:rFonts w:hint="eastAsia"/>
                <w:spacing w:val="-12"/>
                <w:highlight w:val="none"/>
                <w:lang w:val="en-US" w:eastAsia="zh-CN"/>
              </w:rPr>
              <w:t>每</w:t>
            </w:r>
            <w:r>
              <w:rPr>
                <w:spacing w:val="-12"/>
                <w:highlight w:val="none"/>
              </w:rPr>
              <w:t>667</w:t>
            </w:r>
            <w:r>
              <w:rPr>
                <w:rFonts w:hint="eastAsia"/>
                <w:spacing w:val="-12"/>
                <w:highlight w:val="none"/>
                <w:lang w:val="en-US" w:eastAsia="zh-CN"/>
              </w:rPr>
              <w:t xml:space="preserve"> </w:t>
            </w:r>
            <w:r>
              <w:rPr>
                <w:spacing w:val="-12"/>
                <w:highlight w:val="none"/>
              </w:rPr>
              <w:t>m</w:t>
            </w:r>
            <w:r>
              <w:rPr>
                <w:spacing w:val="8"/>
                <w:position w:val="9"/>
                <w:sz w:val="8"/>
                <w:szCs w:val="8"/>
                <w:highlight w:val="none"/>
              </w:rPr>
              <w:t>2</w:t>
            </w:r>
            <w:r>
              <w:rPr>
                <w:spacing w:val="-7"/>
                <w:highlight w:val="none"/>
              </w:rPr>
              <w:t>使用量</w:t>
            </w:r>
            <w:r>
              <w:rPr>
                <w:spacing w:val="-22"/>
                <w:highlight w:val="none"/>
              </w:rPr>
              <w:t xml:space="preserve"> </w:t>
            </w:r>
            <w:r>
              <w:rPr>
                <w:spacing w:val="-7"/>
                <w:highlight w:val="none"/>
              </w:rPr>
              <w:t>100</w:t>
            </w:r>
            <w:r>
              <w:rPr>
                <w:rFonts w:hint="eastAsia"/>
                <w:spacing w:val="-7"/>
                <w:highlight w:val="none"/>
                <w:lang w:val="en-US" w:eastAsia="zh-CN"/>
              </w:rPr>
              <w:t xml:space="preserve"> </w:t>
            </w:r>
            <w:r>
              <w:rPr>
                <w:spacing w:val="-7"/>
                <w:highlight w:val="none"/>
              </w:rPr>
              <w:t>m</w:t>
            </w:r>
            <w:r>
              <w:rPr>
                <w:rFonts w:hint="eastAsia"/>
                <w:spacing w:val="-7"/>
                <w:highlight w:val="none"/>
                <w:lang w:val="en-US" w:eastAsia="zh-CN"/>
              </w:rPr>
              <w:t>L</w:t>
            </w:r>
            <w:r>
              <w:rPr>
                <w:spacing w:val="-7"/>
                <w:highlight w:val="none"/>
              </w:rPr>
              <w:t>，稀释</w:t>
            </w:r>
            <w:r>
              <w:rPr>
                <w:spacing w:val="-44"/>
                <w:highlight w:val="none"/>
              </w:rPr>
              <w:t xml:space="preserve">   </w:t>
            </w:r>
            <w:r>
              <w:rPr>
                <w:spacing w:val="-7"/>
                <w:highlight w:val="none"/>
              </w:rPr>
              <w:t>800</w:t>
            </w:r>
            <w:r>
              <w:rPr>
                <w:rFonts w:hint="eastAsia"/>
                <w:color w:val="auto"/>
                <w:highlight w:val="none"/>
              </w:rPr>
              <w:t>～</w:t>
            </w:r>
            <w:r>
              <w:rPr>
                <w:spacing w:val="-8"/>
                <w:highlight w:val="none"/>
              </w:rPr>
              <w:t>1</w:t>
            </w:r>
            <w:r>
              <w:rPr>
                <w:rFonts w:hint="eastAsia"/>
                <w:spacing w:val="-8"/>
                <w:highlight w:val="none"/>
                <w:lang w:val="en-US" w:eastAsia="zh-CN"/>
              </w:rPr>
              <w:t xml:space="preserve"> </w:t>
            </w:r>
            <w:r>
              <w:rPr>
                <w:spacing w:val="-8"/>
                <w:highlight w:val="none"/>
              </w:rPr>
              <w:t>000</w:t>
            </w:r>
            <w:r>
              <w:rPr>
                <w:spacing w:val="-29"/>
                <w:highlight w:val="none"/>
              </w:rPr>
              <w:t xml:space="preserve">  </w:t>
            </w:r>
            <w:r>
              <w:rPr>
                <w:spacing w:val="-41"/>
                <w:highlight w:val="none"/>
              </w:rPr>
              <w:t xml:space="preserve"> </w:t>
            </w:r>
            <w:r>
              <w:rPr>
                <w:spacing w:val="-3"/>
                <w:highlight w:val="none"/>
              </w:rPr>
              <w:t>倍均匀喷雾</w:t>
            </w:r>
            <w:r>
              <w:rPr>
                <w:rFonts w:hint="eastAsia"/>
                <w:spacing w:val="-3"/>
                <w:highlight w:val="none"/>
                <w:lang w:eastAsia="zh-CN"/>
              </w:rPr>
              <w:t>。</w:t>
            </w:r>
          </w:p>
        </w:tc>
        <w:tc>
          <w:tcPr>
            <w:tcW w:w="1713" w:type="dxa"/>
            <w:vMerge w:val="continue"/>
            <w:tcBorders>
              <w:right w:val="single" w:color="000000" w:sz="6" w:space="0"/>
            </w:tcBorders>
            <w:vAlign w:val="center"/>
          </w:tcPr>
          <w:p w14:paraId="281794D0">
            <w:pPr>
              <w:pStyle w:val="230"/>
              <w:spacing w:before="229" w:line="220" w:lineRule="auto"/>
              <w:jc w:val="center"/>
              <w:rPr>
                <w:highlight w:val="none"/>
              </w:rPr>
            </w:pPr>
          </w:p>
        </w:tc>
      </w:tr>
      <w:tr w14:paraId="71CEB7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jc w:val="center"/>
        </w:trPr>
        <w:tc>
          <w:tcPr>
            <w:tcW w:w="549" w:type="dxa"/>
            <w:tcBorders>
              <w:top w:val="single" w:color="000000" w:sz="6" w:space="0"/>
              <w:left w:val="single" w:color="000000" w:sz="6" w:space="0"/>
            </w:tcBorders>
            <w:vAlign w:val="top"/>
          </w:tcPr>
          <w:p w14:paraId="54345C90">
            <w:pPr>
              <w:pStyle w:val="230"/>
              <w:spacing w:before="90" w:line="183" w:lineRule="auto"/>
              <w:jc w:val="center"/>
              <w:rPr>
                <w:highlight w:val="none"/>
              </w:rPr>
            </w:pPr>
            <w:r>
              <w:rPr>
                <w:highlight w:val="none"/>
              </w:rPr>
              <w:t>2</w:t>
            </w:r>
          </w:p>
        </w:tc>
        <w:tc>
          <w:tcPr>
            <w:tcW w:w="8600" w:type="dxa"/>
            <w:gridSpan w:val="4"/>
            <w:tcBorders>
              <w:top w:val="single" w:color="000000" w:sz="6" w:space="0"/>
              <w:right w:val="single" w:color="000000" w:sz="6" w:space="0"/>
            </w:tcBorders>
            <w:vAlign w:val="top"/>
          </w:tcPr>
          <w:p w14:paraId="65D98DB4">
            <w:pPr>
              <w:pStyle w:val="230"/>
              <w:spacing w:before="62" w:line="220" w:lineRule="auto"/>
              <w:ind w:left="3828"/>
              <w:jc w:val="center"/>
              <w:rPr>
                <w:highlight w:val="none"/>
              </w:rPr>
            </w:pPr>
            <w:r>
              <w:rPr>
                <w:spacing w:val="-2"/>
                <w:highlight w:val="none"/>
              </w:rPr>
              <w:t>病害防控农资</w:t>
            </w:r>
          </w:p>
        </w:tc>
      </w:tr>
      <w:tr w14:paraId="528378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7" w:hRule="atLeast"/>
          <w:jc w:val="center"/>
        </w:trPr>
        <w:tc>
          <w:tcPr>
            <w:tcW w:w="549" w:type="dxa"/>
            <w:tcBorders>
              <w:left w:val="single" w:color="000000" w:sz="6" w:space="0"/>
            </w:tcBorders>
            <w:vAlign w:val="center"/>
          </w:tcPr>
          <w:p w14:paraId="3DCB48BA">
            <w:pPr>
              <w:pStyle w:val="230"/>
              <w:spacing w:before="58" w:line="184" w:lineRule="auto"/>
              <w:jc w:val="center"/>
              <w:rPr>
                <w:highlight w:val="none"/>
              </w:rPr>
            </w:pPr>
            <w:r>
              <w:rPr>
                <w:spacing w:val="-3"/>
                <w:highlight w:val="none"/>
              </w:rPr>
              <w:t>2.1</w:t>
            </w:r>
          </w:p>
        </w:tc>
        <w:tc>
          <w:tcPr>
            <w:tcW w:w="1483" w:type="dxa"/>
            <w:vAlign w:val="top"/>
          </w:tcPr>
          <w:p w14:paraId="13FFB35C">
            <w:pPr>
              <w:pStyle w:val="230"/>
              <w:spacing w:before="225" w:line="269" w:lineRule="auto"/>
              <w:ind w:left="417" w:right="60" w:hanging="352"/>
              <w:jc w:val="center"/>
              <w:rPr>
                <w:highlight w:val="none"/>
              </w:rPr>
            </w:pPr>
            <w:r>
              <w:rPr>
                <w:spacing w:val="-3"/>
                <w:highlight w:val="none"/>
              </w:rPr>
              <w:t>哈茨木霉菌可湿</w:t>
            </w:r>
            <w:r>
              <w:rPr>
                <w:spacing w:val="3"/>
                <w:highlight w:val="none"/>
              </w:rPr>
              <w:t xml:space="preserve"> </w:t>
            </w:r>
            <w:r>
              <w:rPr>
                <w:spacing w:val="-4"/>
                <w:highlight w:val="none"/>
              </w:rPr>
              <w:t>性粉剂</w:t>
            </w:r>
          </w:p>
        </w:tc>
        <w:tc>
          <w:tcPr>
            <w:tcW w:w="2029" w:type="dxa"/>
            <w:vAlign w:val="center"/>
          </w:tcPr>
          <w:p w14:paraId="253AFF4C">
            <w:pPr>
              <w:pStyle w:val="230"/>
              <w:spacing w:before="59" w:line="220" w:lineRule="auto"/>
              <w:jc w:val="center"/>
              <w:rPr>
                <w:highlight w:val="none"/>
              </w:rPr>
            </w:pPr>
            <w:r>
              <w:rPr>
                <w:spacing w:val="-2"/>
                <w:highlight w:val="none"/>
              </w:rPr>
              <w:t>炭疽病、茶饼病</w:t>
            </w:r>
          </w:p>
        </w:tc>
        <w:tc>
          <w:tcPr>
            <w:tcW w:w="3375" w:type="dxa"/>
            <w:vAlign w:val="center"/>
          </w:tcPr>
          <w:p w14:paraId="46AD222A">
            <w:pPr>
              <w:pStyle w:val="230"/>
              <w:spacing w:before="67" w:line="287" w:lineRule="auto"/>
              <w:ind w:right="50"/>
              <w:jc w:val="center"/>
              <w:rPr>
                <w:rFonts w:hint="eastAsia" w:eastAsia="宋体"/>
                <w:highlight w:val="none"/>
                <w:lang w:val="en-US" w:eastAsia="zh-CN"/>
              </w:rPr>
            </w:pPr>
            <w:r>
              <w:rPr>
                <w:rFonts w:hint="eastAsia"/>
                <w:spacing w:val="-12"/>
                <w:highlight w:val="none"/>
                <w:lang w:val="en-US" w:eastAsia="zh-CN"/>
              </w:rPr>
              <w:t>每</w:t>
            </w:r>
            <w:r>
              <w:rPr>
                <w:spacing w:val="-12"/>
                <w:highlight w:val="none"/>
              </w:rPr>
              <w:t>667</w:t>
            </w:r>
            <w:r>
              <w:rPr>
                <w:rFonts w:hint="eastAsia"/>
                <w:spacing w:val="-12"/>
                <w:highlight w:val="none"/>
                <w:lang w:val="en-US" w:eastAsia="zh-CN"/>
              </w:rPr>
              <w:t xml:space="preserve"> </w:t>
            </w:r>
            <w:r>
              <w:rPr>
                <w:spacing w:val="-12"/>
                <w:highlight w:val="none"/>
              </w:rPr>
              <w:t>m</w:t>
            </w:r>
            <w:r>
              <w:rPr>
                <w:spacing w:val="8"/>
                <w:position w:val="9"/>
                <w:sz w:val="8"/>
                <w:szCs w:val="8"/>
                <w:highlight w:val="none"/>
              </w:rPr>
              <w:t>2</w:t>
            </w:r>
            <w:r>
              <w:rPr>
                <w:spacing w:val="2"/>
                <w:highlight w:val="none"/>
              </w:rPr>
              <w:t>使用量100</w:t>
            </w:r>
            <w:r>
              <w:rPr>
                <w:spacing w:val="-47"/>
                <w:highlight w:val="none"/>
              </w:rPr>
              <w:t xml:space="preserve"> </w:t>
            </w:r>
            <w:r>
              <w:rPr>
                <w:spacing w:val="2"/>
                <w:highlight w:val="none"/>
              </w:rPr>
              <w:t>g，稀释</w:t>
            </w:r>
            <w:r>
              <w:rPr>
                <w:spacing w:val="-44"/>
                <w:highlight w:val="none"/>
              </w:rPr>
              <w:t xml:space="preserve">   </w:t>
            </w:r>
            <w:r>
              <w:rPr>
                <w:spacing w:val="-7"/>
                <w:highlight w:val="none"/>
              </w:rPr>
              <w:t>800</w:t>
            </w:r>
            <w:r>
              <w:rPr>
                <w:rFonts w:hint="eastAsia"/>
                <w:color w:val="auto"/>
                <w:highlight w:val="none"/>
              </w:rPr>
              <w:t>～</w:t>
            </w:r>
            <w:r>
              <w:rPr>
                <w:spacing w:val="-8"/>
                <w:highlight w:val="none"/>
              </w:rPr>
              <w:t>1</w:t>
            </w:r>
            <w:r>
              <w:rPr>
                <w:rFonts w:hint="eastAsia"/>
                <w:spacing w:val="-8"/>
                <w:highlight w:val="none"/>
                <w:lang w:val="en-US" w:eastAsia="zh-CN"/>
              </w:rPr>
              <w:t xml:space="preserve"> </w:t>
            </w:r>
            <w:r>
              <w:rPr>
                <w:spacing w:val="-8"/>
                <w:highlight w:val="none"/>
              </w:rPr>
              <w:t>000</w:t>
            </w:r>
            <w:r>
              <w:rPr>
                <w:spacing w:val="-30"/>
                <w:highlight w:val="none"/>
              </w:rPr>
              <w:t xml:space="preserve"> </w:t>
            </w:r>
            <w:r>
              <w:rPr>
                <w:spacing w:val="2"/>
                <w:highlight w:val="none"/>
              </w:rPr>
              <w:t>倍均匀喷雾。</w:t>
            </w:r>
          </w:p>
        </w:tc>
        <w:tc>
          <w:tcPr>
            <w:tcW w:w="1713" w:type="dxa"/>
            <w:vMerge w:val="restart"/>
            <w:tcBorders>
              <w:right w:val="single" w:color="000000" w:sz="6" w:space="0"/>
            </w:tcBorders>
            <w:vAlign w:val="center"/>
          </w:tcPr>
          <w:p w14:paraId="75D2AAC2">
            <w:pPr>
              <w:pStyle w:val="230"/>
              <w:spacing w:before="59" w:line="220" w:lineRule="auto"/>
              <w:jc w:val="center"/>
              <w:rPr>
                <w:highlight w:val="none"/>
              </w:rPr>
            </w:pPr>
            <w:r>
              <w:rPr>
                <w:rFonts w:hint="eastAsia" w:ascii="宋体" w:hAnsi="宋体"/>
                <w:color w:val="auto"/>
                <w:kern w:val="0"/>
                <w:sz w:val="18"/>
                <w:szCs w:val="18"/>
                <w:highlight w:val="none"/>
              </w:rPr>
              <w:t>应符合GB/T 8321（所有部分）的规定</w:t>
            </w:r>
            <w:r>
              <w:rPr>
                <w:rFonts w:hint="eastAsia"/>
                <w:color w:val="auto"/>
                <w:kern w:val="0"/>
                <w:sz w:val="18"/>
                <w:szCs w:val="18"/>
                <w:highlight w:val="none"/>
                <w:lang w:eastAsia="zh-CN"/>
              </w:rPr>
              <w:t>，当同一药剂对茶树和葡萄规定不同的安全间隔</w:t>
            </w:r>
            <w:r>
              <w:rPr>
                <w:rFonts w:hint="eastAsia"/>
                <w:color w:val="auto"/>
                <w:kern w:val="0"/>
                <w:sz w:val="18"/>
                <w:szCs w:val="18"/>
                <w:highlight w:val="none"/>
                <w:lang w:val="en-US" w:eastAsia="zh-CN"/>
              </w:rPr>
              <w:t>周</w:t>
            </w:r>
            <w:r>
              <w:rPr>
                <w:rFonts w:hint="eastAsia"/>
                <w:color w:val="auto"/>
                <w:kern w:val="0"/>
                <w:sz w:val="18"/>
                <w:szCs w:val="18"/>
                <w:highlight w:val="none"/>
                <w:lang w:eastAsia="zh-CN"/>
              </w:rPr>
              <w:t>期时，以间隔</w:t>
            </w:r>
            <w:r>
              <w:rPr>
                <w:rFonts w:hint="eastAsia"/>
                <w:color w:val="auto"/>
                <w:kern w:val="0"/>
                <w:sz w:val="18"/>
                <w:szCs w:val="18"/>
                <w:highlight w:val="none"/>
                <w:lang w:val="en-US" w:eastAsia="zh-CN"/>
              </w:rPr>
              <w:t>周</w:t>
            </w:r>
            <w:r>
              <w:rPr>
                <w:rFonts w:hint="eastAsia"/>
                <w:color w:val="auto"/>
                <w:kern w:val="0"/>
                <w:sz w:val="18"/>
                <w:szCs w:val="18"/>
                <w:highlight w:val="none"/>
                <w:lang w:eastAsia="zh-CN"/>
              </w:rPr>
              <w:t>期长的为准。</w:t>
            </w:r>
          </w:p>
        </w:tc>
      </w:tr>
      <w:tr w14:paraId="0DD40E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jc w:val="center"/>
        </w:trPr>
        <w:tc>
          <w:tcPr>
            <w:tcW w:w="549" w:type="dxa"/>
            <w:tcBorders>
              <w:left w:val="single" w:color="000000" w:sz="6" w:space="0"/>
            </w:tcBorders>
            <w:vAlign w:val="top"/>
          </w:tcPr>
          <w:p w14:paraId="27ED3BA5">
            <w:pPr>
              <w:spacing w:line="350" w:lineRule="auto"/>
              <w:jc w:val="center"/>
              <w:rPr>
                <w:rFonts w:ascii="Arial"/>
                <w:sz w:val="21"/>
                <w:highlight w:val="none"/>
              </w:rPr>
            </w:pPr>
          </w:p>
          <w:p w14:paraId="705BB1B9">
            <w:pPr>
              <w:pStyle w:val="230"/>
              <w:spacing w:before="59" w:line="183" w:lineRule="auto"/>
              <w:jc w:val="center"/>
              <w:rPr>
                <w:highlight w:val="none"/>
              </w:rPr>
            </w:pPr>
            <w:r>
              <w:rPr>
                <w:spacing w:val="-3"/>
                <w:highlight w:val="none"/>
              </w:rPr>
              <w:t>2.2</w:t>
            </w:r>
          </w:p>
        </w:tc>
        <w:tc>
          <w:tcPr>
            <w:tcW w:w="1483" w:type="dxa"/>
            <w:vAlign w:val="center"/>
          </w:tcPr>
          <w:p w14:paraId="5398843E">
            <w:pPr>
              <w:pStyle w:val="230"/>
              <w:spacing w:before="59" w:line="219" w:lineRule="auto"/>
              <w:jc w:val="center"/>
              <w:rPr>
                <w:highlight w:val="none"/>
              </w:rPr>
            </w:pPr>
            <w:r>
              <w:rPr>
                <w:spacing w:val="-2"/>
                <w:highlight w:val="none"/>
              </w:rPr>
              <w:t>5%多抗霉素</w:t>
            </w:r>
          </w:p>
        </w:tc>
        <w:tc>
          <w:tcPr>
            <w:tcW w:w="2029" w:type="dxa"/>
            <w:vAlign w:val="center"/>
          </w:tcPr>
          <w:p w14:paraId="3B38C6D1">
            <w:pPr>
              <w:pStyle w:val="230"/>
              <w:spacing w:before="58" w:line="220" w:lineRule="auto"/>
              <w:jc w:val="center"/>
              <w:rPr>
                <w:highlight w:val="none"/>
              </w:rPr>
            </w:pPr>
            <w:r>
              <w:rPr>
                <w:spacing w:val="-2"/>
                <w:highlight w:val="none"/>
              </w:rPr>
              <w:t>茶饼病、炭疽病</w:t>
            </w:r>
          </w:p>
        </w:tc>
        <w:tc>
          <w:tcPr>
            <w:tcW w:w="3375" w:type="dxa"/>
            <w:vAlign w:val="center"/>
          </w:tcPr>
          <w:p w14:paraId="2DD997B5">
            <w:pPr>
              <w:pStyle w:val="230"/>
              <w:spacing w:before="69" w:line="287" w:lineRule="auto"/>
              <w:ind w:right="51"/>
              <w:jc w:val="center"/>
              <w:rPr>
                <w:rFonts w:hint="eastAsia" w:eastAsia="宋体"/>
                <w:highlight w:val="none"/>
                <w:lang w:val="en-US" w:eastAsia="zh-CN"/>
              </w:rPr>
            </w:pPr>
            <w:r>
              <w:rPr>
                <w:rFonts w:hint="eastAsia"/>
                <w:spacing w:val="-12"/>
                <w:highlight w:val="none"/>
                <w:lang w:val="en-US" w:eastAsia="zh-CN"/>
              </w:rPr>
              <w:t>每</w:t>
            </w:r>
            <w:r>
              <w:rPr>
                <w:spacing w:val="-12"/>
                <w:highlight w:val="none"/>
              </w:rPr>
              <w:t>667</w:t>
            </w:r>
            <w:r>
              <w:rPr>
                <w:rFonts w:hint="eastAsia"/>
                <w:spacing w:val="-12"/>
                <w:highlight w:val="none"/>
                <w:lang w:val="en-US" w:eastAsia="zh-CN"/>
              </w:rPr>
              <w:t xml:space="preserve"> </w:t>
            </w:r>
            <w:r>
              <w:rPr>
                <w:spacing w:val="-12"/>
                <w:highlight w:val="none"/>
              </w:rPr>
              <w:t>m</w:t>
            </w:r>
            <w:r>
              <w:rPr>
                <w:spacing w:val="8"/>
                <w:position w:val="9"/>
                <w:sz w:val="8"/>
                <w:szCs w:val="8"/>
                <w:highlight w:val="none"/>
              </w:rPr>
              <w:t>2</w:t>
            </w:r>
            <w:r>
              <w:rPr>
                <w:spacing w:val="2"/>
                <w:highlight w:val="none"/>
              </w:rPr>
              <w:t>使用量</w:t>
            </w:r>
            <w:r>
              <w:rPr>
                <w:spacing w:val="-22"/>
                <w:highlight w:val="none"/>
              </w:rPr>
              <w:t xml:space="preserve"> </w:t>
            </w:r>
            <w:r>
              <w:rPr>
                <w:spacing w:val="2"/>
                <w:highlight w:val="none"/>
              </w:rPr>
              <w:t>100</w:t>
            </w:r>
            <w:r>
              <w:rPr>
                <w:spacing w:val="-47"/>
                <w:highlight w:val="none"/>
              </w:rPr>
              <w:t xml:space="preserve"> </w:t>
            </w:r>
            <w:r>
              <w:rPr>
                <w:spacing w:val="2"/>
                <w:highlight w:val="none"/>
              </w:rPr>
              <w:t>g，稀释</w:t>
            </w:r>
            <w:r>
              <w:rPr>
                <w:spacing w:val="-44"/>
                <w:highlight w:val="none"/>
              </w:rPr>
              <w:t xml:space="preserve">   </w:t>
            </w:r>
            <w:r>
              <w:rPr>
                <w:spacing w:val="-7"/>
                <w:highlight w:val="none"/>
              </w:rPr>
              <w:t>800</w:t>
            </w:r>
            <w:r>
              <w:rPr>
                <w:rFonts w:hint="eastAsia"/>
                <w:color w:val="auto"/>
                <w:highlight w:val="none"/>
              </w:rPr>
              <w:t>～</w:t>
            </w:r>
            <w:r>
              <w:rPr>
                <w:spacing w:val="-8"/>
                <w:highlight w:val="none"/>
              </w:rPr>
              <w:t>1</w:t>
            </w:r>
            <w:r>
              <w:rPr>
                <w:rFonts w:hint="eastAsia"/>
                <w:spacing w:val="-8"/>
                <w:highlight w:val="none"/>
                <w:lang w:val="en-US" w:eastAsia="zh-CN"/>
              </w:rPr>
              <w:t xml:space="preserve"> </w:t>
            </w:r>
            <w:r>
              <w:rPr>
                <w:spacing w:val="-8"/>
                <w:highlight w:val="none"/>
              </w:rPr>
              <w:t>000</w:t>
            </w:r>
            <w:r>
              <w:rPr>
                <w:spacing w:val="-28"/>
                <w:highlight w:val="none"/>
              </w:rPr>
              <w:t xml:space="preserve"> </w:t>
            </w:r>
            <w:r>
              <w:rPr>
                <w:spacing w:val="-8"/>
                <w:highlight w:val="none"/>
              </w:rPr>
              <w:t>倍喷雾。</w:t>
            </w:r>
          </w:p>
        </w:tc>
        <w:tc>
          <w:tcPr>
            <w:tcW w:w="1713" w:type="dxa"/>
            <w:vMerge w:val="continue"/>
            <w:tcBorders>
              <w:right w:val="single" w:color="000000" w:sz="6" w:space="0"/>
            </w:tcBorders>
            <w:vAlign w:val="top"/>
          </w:tcPr>
          <w:p w14:paraId="0E69716D">
            <w:pPr>
              <w:pStyle w:val="230"/>
              <w:spacing w:before="58" w:line="220" w:lineRule="auto"/>
              <w:jc w:val="center"/>
              <w:rPr>
                <w:highlight w:val="none"/>
              </w:rPr>
            </w:pPr>
          </w:p>
        </w:tc>
      </w:tr>
      <w:tr w14:paraId="54CE00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3" w:hRule="atLeast"/>
          <w:jc w:val="center"/>
        </w:trPr>
        <w:tc>
          <w:tcPr>
            <w:tcW w:w="549" w:type="dxa"/>
            <w:tcBorders>
              <w:left w:val="single" w:color="000000" w:sz="6" w:space="0"/>
            </w:tcBorders>
            <w:vAlign w:val="center"/>
          </w:tcPr>
          <w:p w14:paraId="2B121F78">
            <w:pPr>
              <w:pStyle w:val="230"/>
              <w:spacing w:before="58" w:line="183" w:lineRule="auto"/>
              <w:jc w:val="center"/>
              <w:rPr>
                <w:highlight w:val="none"/>
              </w:rPr>
            </w:pPr>
            <w:r>
              <w:rPr>
                <w:spacing w:val="-3"/>
                <w:highlight w:val="none"/>
              </w:rPr>
              <w:t>2.3</w:t>
            </w:r>
          </w:p>
        </w:tc>
        <w:tc>
          <w:tcPr>
            <w:tcW w:w="1483" w:type="dxa"/>
            <w:vAlign w:val="center"/>
          </w:tcPr>
          <w:p w14:paraId="44CEA596">
            <w:pPr>
              <w:pStyle w:val="230"/>
              <w:spacing w:before="228" w:line="269" w:lineRule="auto"/>
              <w:ind w:right="60"/>
              <w:jc w:val="center"/>
              <w:rPr>
                <w:highlight w:val="none"/>
              </w:rPr>
            </w:pPr>
            <w:r>
              <w:rPr>
                <w:spacing w:val="-3"/>
                <w:highlight w:val="none"/>
              </w:rPr>
              <w:t>1.5%苦参·蛇床</w:t>
            </w:r>
            <w:r>
              <w:rPr>
                <w:spacing w:val="-4"/>
                <w:highlight w:val="none"/>
              </w:rPr>
              <w:t>素水剂</w:t>
            </w:r>
          </w:p>
        </w:tc>
        <w:tc>
          <w:tcPr>
            <w:tcW w:w="2029" w:type="dxa"/>
            <w:vAlign w:val="center"/>
          </w:tcPr>
          <w:p w14:paraId="0A2AA801">
            <w:pPr>
              <w:pStyle w:val="230"/>
              <w:spacing w:before="59" w:line="221" w:lineRule="auto"/>
              <w:jc w:val="center"/>
              <w:rPr>
                <w:highlight w:val="none"/>
              </w:rPr>
            </w:pPr>
            <w:r>
              <w:rPr>
                <w:spacing w:val="-4"/>
                <w:highlight w:val="none"/>
              </w:rPr>
              <w:t>炭疽病</w:t>
            </w:r>
          </w:p>
        </w:tc>
        <w:tc>
          <w:tcPr>
            <w:tcW w:w="3375" w:type="dxa"/>
            <w:vAlign w:val="center"/>
          </w:tcPr>
          <w:p w14:paraId="72604908">
            <w:pPr>
              <w:pStyle w:val="230"/>
              <w:spacing w:before="73" w:line="286" w:lineRule="auto"/>
              <w:ind w:right="51"/>
              <w:jc w:val="center"/>
              <w:rPr>
                <w:rFonts w:hint="eastAsia" w:eastAsia="宋体"/>
                <w:highlight w:val="none"/>
                <w:lang w:val="en-US" w:eastAsia="zh-CN"/>
              </w:rPr>
            </w:pPr>
            <w:r>
              <w:rPr>
                <w:rFonts w:hint="eastAsia"/>
                <w:spacing w:val="-12"/>
                <w:highlight w:val="none"/>
                <w:lang w:val="en-US" w:eastAsia="zh-CN"/>
              </w:rPr>
              <w:t>每</w:t>
            </w:r>
            <w:r>
              <w:rPr>
                <w:spacing w:val="-12"/>
                <w:highlight w:val="none"/>
              </w:rPr>
              <w:t>667</w:t>
            </w:r>
            <w:r>
              <w:rPr>
                <w:rFonts w:hint="eastAsia"/>
                <w:spacing w:val="-12"/>
                <w:highlight w:val="none"/>
                <w:lang w:val="en-US" w:eastAsia="zh-CN"/>
              </w:rPr>
              <w:t xml:space="preserve"> </w:t>
            </w:r>
            <w:r>
              <w:rPr>
                <w:spacing w:val="-12"/>
                <w:highlight w:val="none"/>
              </w:rPr>
              <w:t>m</w:t>
            </w:r>
            <w:r>
              <w:rPr>
                <w:spacing w:val="8"/>
                <w:position w:val="9"/>
                <w:sz w:val="8"/>
                <w:szCs w:val="8"/>
                <w:highlight w:val="none"/>
              </w:rPr>
              <w:t>2</w:t>
            </w:r>
            <w:r>
              <w:rPr>
                <w:spacing w:val="2"/>
                <w:highlight w:val="none"/>
              </w:rPr>
              <w:t>使用量</w:t>
            </w:r>
            <w:r>
              <w:rPr>
                <w:spacing w:val="-22"/>
                <w:highlight w:val="none"/>
              </w:rPr>
              <w:t xml:space="preserve"> </w:t>
            </w:r>
            <w:r>
              <w:rPr>
                <w:spacing w:val="2"/>
                <w:highlight w:val="none"/>
              </w:rPr>
              <w:t>100</w:t>
            </w:r>
            <w:r>
              <w:rPr>
                <w:rFonts w:hint="eastAsia"/>
                <w:spacing w:val="2"/>
                <w:highlight w:val="none"/>
                <w:lang w:val="en-US" w:eastAsia="zh-CN"/>
              </w:rPr>
              <w:t xml:space="preserve"> </w:t>
            </w:r>
            <w:r>
              <w:rPr>
                <w:highlight w:val="none"/>
              </w:rPr>
              <w:t>m</w:t>
            </w:r>
            <w:r>
              <w:rPr>
                <w:rFonts w:hint="eastAsia"/>
                <w:highlight w:val="none"/>
                <w:lang w:val="en-US" w:eastAsia="zh-CN"/>
              </w:rPr>
              <w:t>L</w:t>
            </w:r>
            <w:r>
              <w:rPr>
                <w:spacing w:val="2"/>
                <w:highlight w:val="none"/>
              </w:rPr>
              <w:t>，稀释</w:t>
            </w:r>
            <w:r>
              <w:rPr>
                <w:spacing w:val="-36"/>
                <w:highlight w:val="none"/>
              </w:rPr>
              <w:t xml:space="preserve"> </w:t>
            </w:r>
            <w:r>
              <w:rPr>
                <w:spacing w:val="-44"/>
                <w:highlight w:val="none"/>
              </w:rPr>
              <w:t xml:space="preserve">   </w:t>
            </w:r>
            <w:r>
              <w:rPr>
                <w:spacing w:val="-7"/>
                <w:highlight w:val="none"/>
              </w:rPr>
              <w:t>800</w:t>
            </w:r>
            <w:r>
              <w:rPr>
                <w:rFonts w:hint="eastAsia"/>
                <w:color w:val="auto"/>
                <w:highlight w:val="none"/>
              </w:rPr>
              <w:t>～</w:t>
            </w:r>
            <w:r>
              <w:rPr>
                <w:spacing w:val="-8"/>
                <w:highlight w:val="none"/>
              </w:rPr>
              <w:t>1</w:t>
            </w:r>
            <w:r>
              <w:rPr>
                <w:rFonts w:hint="eastAsia"/>
                <w:spacing w:val="-8"/>
                <w:highlight w:val="none"/>
                <w:lang w:val="en-US" w:eastAsia="zh-CN"/>
              </w:rPr>
              <w:t xml:space="preserve"> </w:t>
            </w:r>
            <w:r>
              <w:rPr>
                <w:spacing w:val="-8"/>
                <w:highlight w:val="none"/>
              </w:rPr>
              <w:t>000</w:t>
            </w:r>
            <w:r>
              <w:rPr>
                <w:spacing w:val="-28"/>
                <w:highlight w:val="none"/>
              </w:rPr>
              <w:t xml:space="preserve"> </w:t>
            </w:r>
            <w:r>
              <w:rPr>
                <w:spacing w:val="-8"/>
                <w:highlight w:val="none"/>
              </w:rPr>
              <w:t>倍喷雾。</w:t>
            </w:r>
          </w:p>
        </w:tc>
        <w:tc>
          <w:tcPr>
            <w:tcW w:w="1713" w:type="dxa"/>
            <w:vMerge w:val="continue"/>
            <w:tcBorders>
              <w:right w:val="single" w:color="000000" w:sz="6" w:space="0"/>
            </w:tcBorders>
            <w:vAlign w:val="top"/>
          </w:tcPr>
          <w:p w14:paraId="67D2E155">
            <w:pPr>
              <w:pStyle w:val="230"/>
              <w:spacing w:before="59" w:line="220" w:lineRule="auto"/>
              <w:jc w:val="center"/>
              <w:rPr>
                <w:highlight w:val="none"/>
              </w:rPr>
            </w:pPr>
          </w:p>
        </w:tc>
      </w:tr>
    </w:tbl>
    <w:p w14:paraId="681AA1A4">
      <w:pPr>
        <w:pStyle w:val="56"/>
        <w:ind w:firstLine="0" w:firstLineChars="0"/>
        <w:jc w:val="both"/>
        <w:rPr>
          <w:rFonts w:hint="eastAsia"/>
          <w:b/>
          <w:bCs/>
          <w:color w:val="auto"/>
          <w:highlight w:val="none"/>
        </w:rPr>
      </w:pPr>
    </w:p>
    <w:p w14:paraId="4C02004D">
      <w:pPr>
        <w:pStyle w:val="56"/>
        <w:ind w:firstLine="0" w:firstLineChars="0"/>
        <w:jc w:val="center"/>
        <w:rPr>
          <w:rFonts w:hint="eastAsia"/>
          <w:b/>
          <w:bCs/>
          <w:color w:val="auto"/>
          <w:highlight w:val="none"/>
        </w:rPr>
      </w:pPr>
    </w:p>
    <w:p w14:paraId="714CD4DB">
      <w:pPr>
        <w:rPr>
          <w:rFonts w:hint="eastAsia"/>
          <w:b/>
          <w:bCs/>
          <w:color w:val="auto"/>
          <w:highlight w:val="none"/>
        </w:rPr>
      </w:pPr>
      <w:r>
        <w:rPr>
          <w:rFonts w:hint="eastAsia"/>
          <w:b/>
          <w:bCs/>
          <w:color w:val="auto"/>
          <w:highlight w:val="none"/>
        </w:rPr>
        <w:br w:type="page"/>
      </w:r>
    </w:p>
    <w:p w14:paraId="6C41F91B">
      <w:pPr>
        <w:pStyle w:val="56"/>
        <w:ind w:firstLine="0" w:firstLineChars="0"/>
        <w:jc w:val="center"/>
        <w:rPr>
          <w:rFonts w:hint="eastAsia"/>
          <w:b/>
          <w:bCs/>
          <w:color w:val="auto"/>
          <w:highlight w:val="none"/>
        </w:rPr>
      </w:pPr>
    </w:p>
    <w:p w14:paraId="4DFF09F0">
      <w:pPr>
        <w:pStyle w:val="56"/>
        <w:ind w:firstLine="0" w:firstLineChars="0"/>
        <w:jc w:val="center"/>
        <w:rPr>
          <w:rFonts w:hint="eastAsia"/>
          <w:b/>
          <w:bCs/>
          <w:color w:val="auto"/>
          <w:highlight w:val="none"/>
        </w:rPr>
      </w:pPr>
      <w:r>
        <w:rPr>
          <w:rFonts w:hint="eastAsia"/>
          <w:b/>
          <w:bCs/>
          <w:color w:val="auto"/>
          <w:highlight w:val="none"/>
        </w:rPr>
        <w:t>附 录 B</w:t>
      </w:r>
    </w:p>
    <w:p w14:paraId="0594F849">
      <w:pPr>
        <w:pStyle w:val="56"/>
        <w:ind w:firstLine="0" w:firstLineChars="0"/>
        <w:jc w:val="center"/>
        <w:rPr>
          <w:rFonts w:hint="eastAsia"/>
          <w:b/>
          <w:bCs/>
          <w:color w:val="auto"/>
          <w:highlight w:val="none"/>
        </w:rPr>
      </w:pPr>
      <w:r>
        <w:rPr>
          <w:rFonts w:hint="eastAsia"/>
          <w:b/>
          <w:bCs/>
          <w:color w:val="auto"/>
          <w:highlight w:val="none"/>
        </w:rPr>
        <w:t>(资料性)</w:t>
      </w:r>
    </w:p>
    <w:p w14:paraId="3D36C153">
      <w:pPr>
        <w:pStyle w:val="56"/>
        <w:ind w:firstLine="0" w:firstLineChars="0"/>
        <w:jc w:val="center"/>
        <w:rPr>
          <w:rFonts w:hint="eastAsia"/>
          <w:b/>
          <w:bCs/>
          <w:color w:val="auto"/>
          <w:highlight w:val="none"/>
        </w:rPr>
      </w:pPr>
      <w:r>
        <w:rPr>
          <w:rFonts w:hint="eastAsia"/>
          <w:b/>
          <w:bCs/>
          <w:color w:val="auto"/>
          <w:highlight w:val="none"/>
        </w:rPr>
        <w:t>葡萄主要病虫害防治时期和农药选用</w:t>
      </w:r>
    </w:p>
    <w:p w14:paraId="77D52D0F">
      <w:pPr>
        <w:pStyle w:val="56"/>
        <w:ind w:firstLine="0" w:firstLineChars="0"/>
        <w:jc w:val="center"/>
        <w:rPr>
          <w:rFonts w:hint="eastAsia"/>
          <w:color w:val="auto"/>
          <w:highlight w:val="none"/>
        </w:rPr>
      </w:pPr>
    </w:p>
    <w:p w14:paraId="28A6CB9D">
      <w:pPr>
        <w:pStyle w:val="56"/>
        <w:ind w:firstLine="420"/>
        <w:jc w:val="left"/>
        <w:rPr>
          <w:color w:val="auto"/>
          <w:highlight w:val="none"/>
        </w:rPr>
      </w:pPr>
      <w:r>
        <w:rPr>
          <w:rFonts w:hint="eastAsia"/>
          <w:color w:val="auto"/>
          <w:highlight w:val="none"/>
        </w:rPr>
        <w:t>见表B.1。</w:t>
      </w:r>
    </w:p>
    <w:p w14:paraId="76E90726">
      <w:pPr>
        <w:pStyle w:val="56"/>
        <w:ind w:firstLine="0" w:firstLineChars="0"/>
        <w:jc w:val="center"/>
        <w:rPr>
          <w:b/>
          <w:bCs/>
          <w:color w:val="auto"/>
          <w:highlight w:val="none"/>
        </w:rPr>
      </w:pPr>
      <w:r>
        <w:rPr>
          <w:rFonts w:hint="eastAsia"/>
          <w:b/>
          <w:bCs/>
          <w:color w:val="auto"/>
          <w:highlight w:val="none"/>
        </w:rPr>
        <w:t>表B.1葡萄主要病虫害防治时期和农药选用</w:t>
      </w:r>
    </w:p>
    <w:tbl>
      <w:tblPr>
        <w:tblStyle w:val="27"/>
        <w:tblW w:w="943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autofit"/>
        <w:tblCellMar>
          <w:top w:w="0" w:type="dxa"/>
          <w:left w:w="0" w:type="dxa"/>
          <w:bottom w:w="0" w:type="dxa"/>
          <w:right w:w="0" w:type="dxa"/>
        </w:tblCellMar>
      </w:tblPr>
      <w:tblGrid>
        <w:gridCol w:w="764"/>
        <w:gridCol w:w="2"/>
        <w:gridCol w:w="2191"/>
        <w:gridCol w:w="1200"/>
        <w:gridCol w:w="3952"/>
        <w:gridCol w:w="1325"/>
      </w:tblGrid>
      <w:tr w14:paraId="60852D9E">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68" w:hRule="atLeast"/>
          <w:jc w:val="center"/>
        </w:trPr>
        <w:tc>
          <w:tcPr>
            <w:tcW w:w="764" w:type="dxa"/>
            <w:tcBorders>
              <w:bottom w:val="single" w:color="auto" w:sz="8" w:space="0"/>
            </w:tcBorders>
            <w:shd w:val="clear" w:color="auto" w:fill="auto"/>
            <w:vAlign w:val="center"/>
          </w:tcPr>
          <w:p w14:paraId="5765FC83">
            <w:pPr>
              <w:spacing w:line="240" w:lineRule="auto"/>
              <w:jc w:val="center"/>
              <w:rPr>
                <w:rFonts w:ascii="宋体" w:hAnsi="宋体"/>
                <w:color w:val="auto"/>
                <w:kern w:val="0"/>
                <w:sz w:val="18"/>
                <w:szCs w:val="18"/>
                <w:highlight w:val="none"/>
              </w:rPr>
            </w:pPr>
            <w:r>
              <w:rPr>
                <w:rFonts w:hint="eastAsia" w:ascii="宋体" w:hAnsi="宋体"/>
                <w:color w:val="auto"/>
                <w:kern w:val="0"/>
                <w:sz w:val="18"/>
                <w:szCs w:val="18"/>
                <w:highlight w:val="none"/>
              </w:rPr>
              <w:t>防治对象</w:t>
            </w:r>
          </w:p>
        </w:tc>
        <w:tc>
          <w:tcPr>
            <w:tcW w:w="2193" w:type="dxa"/>
            <w:gridSpan w:val="2"/>
            <w:tcBorders>
              <w:bottom w:val="single" w:color="auto" w:sz="8" w:space="0"/>
            </w:tcBorders>
            <w:shd w:val="clear" w:color="auto" w:fill="auto"/>
            <w:vAlign w:val="center"/>
          </w:tcPr>
          <w:p w14:paraId="6FB0B85D">
            <w:pPr>
              <w:spacing w:line="240" w:lineRule="auto"/>
              <w:jc w:val="center"/>
              <w:rPr>
                <w:rFonts w:hint="eastAsia" w:ascii="宋体" w:hAnsi="宋体" w:eastAsia="宋体"/>
                <w:color w:val="auto"/>
                <w:kern w:val="0"/>
                <w:sz w:val="18"/>
                <w:szCs w:val="18"/>
                <w:highlight w:val="none"/>
                <w:lang w:eastAsia="zh-CN"/>
              </w:rPr>
            </w:pPr>
            <w:r>
              <w:rPr>
                <w:rFonts w:hint="eastAsia" w:ascii="宋体" w:hAnsi="宋体"/>
                <w:color w:val="auto"/>
                <w:kern w:val="0"/>
                <w:sz w:val="18"/>
                <w:szCs w:val="18"/>
                <w:highlight w:val="none"/>
                <w:lang w:eastAsia="zh-CN"/>
              </w:rPr>
              <w:t>防治时期</w:t>
            </w:r>
          </w:p>
        </w:tc>
        <w:tc>
          <w:tcPr>
            <w:tcW w:w="5152" w:type="dxa"/>
            <w:gridSpan w:val="2"/>
            <w:tcBorders>
              <w:bottom w:val="single" w:color="auto" w:sz="8" w:space="0"/>
            </w:tcBorders>
            <w:shd w:val="clear" w:color="auto" w:fill="auto"/>
            <w:vAlign w:val="center"/>
          </w:tcPr>
          <w:p w14:paraId="4DCF74A2">
            <w:pPr>
              <w:spacing w:line="240" w:lineRule="auto"/>
              <w:jc w:val="center"/>
              <w:rPr>
                <w:rFonts w:hint="eastAsia" w:ascii="宋体" w:hAnsi="宋体" w:eastAsia="宋体"/>
                <w:color w:val="auto"/>
                <w:kern w:val="0"/>
                <w:sz w:val="18"/>
                <w:szCs w:val="18"/>
                <w:highlight w:val="none"/>
                <w:lang w:eastAsia="zh-CN"/>
              </w:rPr>
            </w:pPr>
            <w:r>
              <w:rPr>
                <w:rFonts w:hint="eastAsia" w:ascii="宋体" w:hAnsi="宋体"/>
                <w:color w:val="auto"/>
                <w:kern w:val="0"/>
                <w:sz w:val="18"/>
                <w:szCs w:val="18"/>
                <w:highlight w:val="none"/>
                <w:lang w:eastAsia="zh-CN"/>
              </w:rPr>
              <w:t>农药选用</w:t>
            </w:r>
          </w:p>
        </w:tc>
        <w:tc>
          <w:tcPr>
            <w:tcW w:w="1325" w:type="dxa"/>
            <w:tcBorders>
              <w:bottom w:val="single" w:color="auto" w:sz="8" w:space="0"/>
            </w:tcBorders>
            <w:vAlign w:val="center"/>
          </w:tcPr>
          <w:p w14:paraId="75ABEDA7">
            <w:pPr>
              <w:spacing w:line="240" w:lineRule="auto"/>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安全间隔期</w:t>
            </w:r>
          </w:p>
        </w:tc>
      </w:tr>
      <w:tr w14:paraId="47CC020D">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246" w:hRule="atLeast"/>
          <w:jc w:val="center"/>
        </w:trPr>
        <w:tc>
          <w:tcPr>
            <w:tcW w:w="764" w:type="dxa"/>
            <w:vMerge w:val="restart"/>
            <w:tcBorders>
              <w:left w:val="single" w:color="auto" w:sz="8" w:space="0"/>
              <w:bottom w:val="single" w:color="auto" w:sz="4" w:space="0"/>
            </w:tcBorders>
            <w:shd w:val="clear" w:color="auto" w:fill="auto"/>
            <w:vAlign w:val="center"/>
          </w:tcPr>
          <w:p w14:paraId="2C88C4A4">
            <w:pPr>
              <w:spacing w:line="240" w:lineRule="auto"/>
              <w:jc w:val="center"/>
              <w:rPr>
                <w:rFonts w:ascii="宋体" w:hAnsi="宋体"/>
                <w:color w:val="auto"/>
                <w:kern w:val="0"/>
                <w:sz w:val="18"/>
                <w:szCs w:val="18"/>
                <w:highlight w:val="none"/>
              </w:rPr>
            </w:pPr>
            <w:r>
              <w:rPr>
                <w:rFonts w:hint="eastAsia" w:ascii="宋体" w:hAnsi="宋体"/>
                <w:color w:val="auto"/>
                <w:kern w:val="0"/>
                <w:sz w:val="18"/>
                <w:szCs w:val="18"/>
                <w:highlight w:val="none"/>
              </w:rPr>
              <w:t>霜霉病</w:t>
            </w:r>
          </w:p>
        </w:tc>
        <w:tc>
          <w:tcPr>
            <w:tcW w:w="2193" w:type="dxa"/>
            <w:gridSpan w:val="2"/>
            <w:vMerge w:val="restart"/>
            <w:tcBorders>
              <w:bottom w:val="single" w:color="auto" w:sz="4" w:space="0"/>
            </w:tcBorders>
            <w:shd w:val="clear" w:color="auto" w:fill="auto"/>
            <w:vAlign w:val="center"/>
          </w:tcPr>
          <w:p w14:paraId="1173372D">
            <w:pPr>
              <w:spacing w:line="240" w:lineRule="auto"/>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整个生长季</w:t>
            </w:r>
          </w:p>
        </w:tc>
        <w:tc>
          <w:tcPr>
            <w:tcW w:w="1200" w:type="dxa"/>
            <w:tcBorders>
              <w:bottom w:val="single" w:color="auto" w:sz="4" w:space="0"/>
            </w:tcBorders>
            <w:shd w:val="clear" w:color="auto" w:fill="auto"/>
            <w:vAlign w:val="center"/>
          </w:tcPr>
          <w:p w14:paraId="3CA1CD74">
            <w:pPr>
              <w:spacing w:line="240" w:lineRule="auto"/>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生物药剂</w:t>
            </w:r>
          </w:p>
        </w:tc>
        <w:tc>
          <w:tcPr>
            <w:tcW w:w="3952" w:type="dxa"/>
            <w:tcBorders>
              <w:bottom w:val="single" w:color="auto" w:sz="4" w:space="0"/>
              <w:right w:val="single" w:color="auto" w:sz="4" w:space="0"/>
            </w:tcBorders>
            <w:shd w:val="clear" w:color="auto" w:fill="auto"/>
            <w:vAlign w:val="center"/>
          </w:tcPr>
          <w:p w14:paraId="2CAFDE9F">
            <w:pPr>
              <w:spacing w:line="240" w:lineRule="auto"/>
              <w:ind w:left="141" w:leftChars="67" w:right="105" w:rightChars="50"/>
              <w:rPr>
                <w:rFonts w:ascii="宋体" w:hAnsi="宋体"/>
                <w:color w:val="auto"/>
                <w:kern w:val="0"/>
                <w:sz w:val="18"/>
                <w:szCs w:val="18"/>
                <w:highlight w:val="none"/>
              </w:rPr>
            </w:pPr>
            <w:r>
              <w:rPr>
                <w:rFonts w:hint="eastAsia" w:ascii="宋体" w:hAnsi="宋体"/>
                <w:color w:val="auto"/>
                <w:kern w:val="0"/>
                <w:sz w:val="18"/>
                <w:szCs w:val="18"/>
                <w:highlight w:val="none"/>
              </w:rPr>
              <w:t>哈茨木霉菌（3亿CFU/g）200～250倍液、5％氨基寡糖素1</w:t>
            </w:r>
            <w:r>
              <w:rPr>
                <w:rFonts w:hint="eastAsia" w:ascii="宋体" w:hAnsi="宋体"/>
                <w:color w:val="auto"/>
                <w:kern w:val="0"/>
                <w:sz w:val="18"/>
                <w:szCs w:val="18"/>
                <w:highlight w:val="none"/>
                <w:vertAlign w:val="subscript"/>
              </w:rPr>
              <w:t xml:space="preserve"> </w:t>
            </w:r>
            <w:r>
              <w:rPr>
                <w:rFonts w:hint="eastAsia" w:ascii="宋体" w:hAnsi="宋体"/>
                <w:color w:val="auto"/>
                <w:kern w:val="0"/>
                <w:sz w:val="18"/>
                <w:szCs w:val="18"/>
                <w:highlight w:val="none"/>
              </w:rPr>
              <w:t>000倍液</w:t>
            </w:r>
            <w:r>
              <w:rPr>
                <w:rFonts w:hint="eastAsia" w:ascii="宋体" w:hAnsi="宋体"/>
                <w:color w:val="auto"/>
                <w:kern w:val="0"/>
                <w:sz w:val="18"/>
                <w:szCs w:val="18"/>
                <w:highlight w:val="none"/>
                <w:lang w:val="en-US" w:eastAsia="zh-CN"/>
              </w:rPr>
              <w:t>等</w:t>
            </w:r>
            <w:r>
              <w:rPr>
                <w:rFonts w:hint="eastAsia" w:ascii="宋体" w:hAnsi="宋体"/>
                <w:color w:val="auto"/>
                <w:kern w:val="0"/>
                <w:sz w:val="18"/>
                <w:szCs w:val="18"/>
                <w:highlight w:val="none"/>
              </w:rPr>
              <w:t>。</w:t>
            </w:r>
          </w:p>
        </w:tc>
        <w:tc>
          <w:tcPr>
            <w:tcW w:w="1325" w:type="dxa"/>
            <w:vMerge w:val="restart"/>
            <w:tcBorders>
              <w:left w:val="single" w:color="auto" w:sz="4" w:space="0"/>
              <w:right w:val="single" w:color="auto" w:sz="8" w:space="0"/>
            </w:tcBorders>
            <w:vAlign w:val="center"/>
          </w:tcPr>
          <w:p w14:paraId="1CD37D9A">
            <w:pPr>
              <w:spacing w:line="240" w:lineRule="auto"/>
              <w:ind w:left="141" w:leftChars="67" w:right="105" w:rightChars="50"/>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应符合GB/T 8321（所有部分）的规定</w:t>
            </w:r>
            <w:r>
              <w:rPr>
                <w:rFonts w:hint="eastAsia"/>
                <w:color w:val="auto"/>
                <w:kern w:val="0"/>
                <w:sz w:val="18"/>
                <w:szCs w:val="18"/>
                <w:highlight w:val="none"/>
                <w:lang w:eastAsia="zh-CN"/>
              </w:rPr>
              <w:t>，当同一药剂对茶树和葡萄规定不同的安全间隔</w:t>
            </w:r>
            <w:r>
              <w:rPr>
                <w:rFonts w:hint="eastAsia"/>
                <w:color w:val="auto"/>
                <w:kern w:val="0"/>
                <w:sz w:val="18"/>
                <w:szCs w:val="18"/>
                <w:highlight w:val="none"/>
                <w:lang w:val="en-US" w:eastAsia="zh-CN"/>
              </w:rPr>
              <w:t>周</w:t>
            </w:r>
            <w:r>
              <w:rPr>
                <w:rFonts w:hint="eastAsia"/>
                <w:color w:val="auto"/>
                <w:kern w:val="0"/>
                <w:sz w:val="18"/>
                <w:szCs w:val="18"/>
                <w:highlight w:val="none"/>
                <w:lang w:eastAsia="zh-CN"/>
              </w:rPr>
              <w:t>期时，以间隔</w:t>
            </w:r>
            <w:r>
              <w:rPr>
                <w:rFonts w:hint="eastAsia"/>
                <w:color w:val="auto"/>
                <w:kern w:val="0"/>
                <w:sz w:val="18"/>
                <w:szCs w:val="18"/>
                <w:highlight w:val="none"/>
                <w:lang w:val="en-US" w:eastAsia="zh-CN"/>
              </w:rPr>
              <w:t>周</w:t>
            </w:r>
            <w:r>
              <w:rPr>
                <w:rFonts w:hint="eastAsia"/>
                <w:color w:val="auto"/>
                <w:kern w:val="0"/>
                <w:sz w:val="18"/>
                <w:szCs w:val="18"/>
                <w:highlight w:val="none"/>
                <w:lang w:eastAsia="zh-CN"/>
              </w:rPr>
              <w:t>期长的为准。</w:t>
            </w:r>
          </w:p>
        </w:tc>
      </w:tr>
      <w:tr w14:paraId="1B2122F1">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704" w:hRule="atLeast"/>
          <w:jc w:val="center"/>
        </w:trPr>
        <w:tc>
          <w:tcPr>
            <w:tcW w:w="764" w:type="dxa"/>
            <w:vMerge w:val="continue"/>
            <w:tcBorders>
              <w:top w:val="single" w:color="auto" w:sz="4" w:space="0"/>
              <w:left w:val="single" w:color="auto" w:sz="8" w:space="0"/>
              <w:bottom w:val="single" w:color="auto" w:sz="4" w:space="0"/>
            </w:tcBorders>
            <w:shd w:val="clear" w:color="auto" w:fill="auto"/>
            <w:vAlign w:val="center"/>
          </w:tcPr>
          <w:p w14:paraId="1537925B">
            <w:pPr>
              <w:spacing w:line="240" w:lineRule="auto"/>
              <w:jc w:val="center"/>
              <w:rPr>
                <w:rFonts w:ascii="宋体" w:hAnsi="宋体"/>
                <w:color w:val="auto"/>
                <w:kern w:val="0"/>
                <w:sz w:val="18"/>
                <w:szCs w:val="18"/>
                <w:highlight w:val="none"/>
              </w:rPr>
            </w:pPr>
          </w:p>
        </w:tc>
        <w:tc>
          <w:tcPr>
            <w:tcW w:w="2193" w:type="dxa"/>
            <w:gridSpan w:val="2"/>
            <w:vMerge w:val="continue"/>
            <w:tcBorders>
              <w:top w:val="single" w:color="auto" w:sz="4" w:space="0"/>
              <w:bottom w:val="single" w:color="auto" w:sz="4" w:space="0"/>
            </w:tcBorders>
            <w:shd w:val="clear" w:color="auto" w:fill="auto"/>
            <w:vAlign w:val="center"/>
          </w:tcPr>
          <w:p w14:paraId="0FA40148">
            <w:pPr>
              <w:spacing w:line="240" w:lineRule="auto"/>
              <w:ind w:left="105" w:leftChars="50" w:right="105" w:rightChars="50"/>
              <w:rPr>
                <w:rFonts w:ascii="宋体" w:hAnsi="宋体"/>
                <w:color w:val="auto"/>
                <w:kern w:val="0"/>
                <w:sz w:val="18"/>
                <w:szCs w:val="18"/>
                <w:highlight w:val="none"/>
              </w:rPr>
            </w:pPr>
          </w:p>
        </w:tc>
        <w:tc>
          <w:tcPr>
            <w:tcW w:w="1200" w:type="dxa"/>
            <w:tcBorders>
              <w:top w:val="single" w:color="auto" w:sz="4" w:space="0"/>
              <w:bottom w:val="single" w:color="auto" w:sz="4" w:space="0"/>
            </w:tcBorders>
            <w:shd w:val="clear" w:color="auto" w:fill="auto"/>
            <w:vAlign w:val="center"/>
          </w:tcPr>
          <w:p w14:paraId="3C8E18A1">
            <w:pPr>
              <w:spacing w:line="240" w:lineRule="auto"/>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化学药剂</w:t>
            </w:r>
          </w:p>
        </w:tc>
        <w:tc>
          <w:tcPr>
            <w:tcW w:w="3952" w:type="dxa"/>
            <w:tcBorders>
              <w:top w:val="single" w:color="auto" w:sz="4" w:space="0"/>
              <w:bottom w:val="single" w:color="auto" w:sz="4" w:space="0"/>
              <w:right w:val="single" w:color="auto" w:sz="4" w:space="0"/>
            </w:tcBorders>
            <w:shd w:val="clear" w:color="auto" w:fill="auto"/>
            <w:vAlign w:val="center"/>
          </w:tcPr>
          <w:p w14:paraId="0E395AA0">
            <w:pPr>
              <w:spacing w:line="240" w:lineRule="auto"/>
              <w:ind w:left="141" w:leftChars="67" w:right="105" w:rightChars="50"/>
              <w:rPr>
                <w:rFonts w:ascii="宋体" w:hAnsi="宋体"/>
                <w:color w:val="auto"/>
                <w:kern w:val="0"/>
                <w:sz w:val="18"/>
                <w:szCs w:val="18"/>
                <w:highlight w:val="none"/>
              </w:rPr>
            </w:pPr>
            <w:r>
              <w:rPr>
                <w:rFonts w:hint="eastAsia" w:ascii="宋体" w:hAnsi="宋体"/>
                <w:color w:val="auto"/>
                <w:kern w:val="0"/>
                <w:sz w:val="18"/>
                <w:szCs w:val="18"/>
                <w:highlight w:val="none"/>
              </w:rPr>
              <w:t>氰霜唑（</w:t>
            </w:r>
            <w:r>
              <w:rPr>
                <w:rFonts w:ascii="宋体" w:hAnsi="宋体"/>
                <w:color w:val="auto"/>
                <w:kern w:val="0"/>
                <w:sz w:val="18"/>
                <w:szCs w:val="18"/>
                <w:highlight w:val="none"/>
              </w:rPr>
              <w:t>100</w:t>
            </w:r>
            <w:r>
              <w:rPr>
                <w:rFonts w:ascii="宋体" w:hAnsi="宋体"/>
                <w:color w:val="auto"/>
                <w:kern w:val="0"/>
                <w:sz w:val="18"/>
                <w:szCs w:val="18"/>
                <w:highlight w:val="none"/>
                <w:vertAlign w:val="superscript"/>
              </w:rPr>
              <w:t xml:space="preserve"> </w:t>
            </w:r>
            <w:r>
              <w:rPr>
                <w:rFonts w:ascii="宋体" w:hAnsi="宋体"/>
                <w:color w:val="auto"/>
                <w:kern w:val="0"/>
                <w:sz w:val="18"/>
                <w:szCs w:val="18"/>
                <w:highlight w:val="none"/>
              </w:rPr>
              <w:t>g/L</w:t>
            </w:r>
            <w:r>
              <w:rPr>
                <w:rFonts w:hint="eastAsia" w:ascii="宋体" w:hAnsi="宋体"/>
                <w:color w:val="auto"/>
                <w:kern w:val="0"/>
                <w:sz w:val="18"/>
                <w:szCs w:val="18"/>
                <w:highlight w:val="none"/>
              </w:rPr>
              <w:t>）2</w:t>
            </w:r>
            <w:r>
              <w:rPr>
                <w:rFonts w:hint="eastAsia" w:ascii="宋体" w:hAnsi="宋体"/>
                <w:color w:val="auto"/>
                <w:kern w:val="0"/>
                <w:sz w:val="18"/>
                <w:szCs w:val="18"/>
                <w:highlight w:val="none"/>
                <w:lang w:val="en-US" w:eastAsia="zh-CN"/>
              </w:rPr>
              <w:t xml:space="preserve"> </w:t>
            </w:r>
            <w:r>
              <w:rPr>
                <w:rFonts w:ascii="宋体" w:hAnsi="宋体"/>
                <w:color w:val="auto"/>
                <w:kern w:val="0"/>
                <w:sz w:val="18"/>
                <w:szCs w:val="18"/>
                <w:highlight w:val="none"/>
              </w:rPr>
              <w:t>0</w:t>
            </w:r>
            <w:r>
              <w:rPr>
                <w:rFonts w:hint="eastAsia" w:ascii="宋体" w:hAnsi="宋体"/>
                <w:color w:val="auto"/>
                <w:kern w:val="0"/>
                <w:sz w:val="18"/>
                <w:szCs w:val="18"/>
                <w:highlight w:val="none"/>
              </w:rPr>
              <w:t>00～</w:t>
            </w:r>
            <w:r>
              <w:rPr>
                <w:rFonts w:ascii="宋体" w:hAnsi="宋体"/>
                <w:color w:val="auto"/>
                <w:kern w:val="0"/>
                <w:sz w:val="18"/>
                <w:szCs w:val="18"/>
                <w:highlight w:val="none"/>
              </w:rPr>
              <w:t>2</w:t>
            </w:r>
            <w:r>
              <w:rPr>
                <w:rFonts w:hint="eastAsia" w:ascii="宋体" w:hAnsi="宋体"/>
                <w:color w:val="auto"/>
                <w:kern w:val="0"/>
                <w:sz w:val="18"/>
                <w:szCs w:val="18"/>
                <w:highlight w:val="none"/>
                <w:vertAlign w:val="subscript"/>
              </w:rPr>
              <w:t xml:space="preserve"> </w:t>
            </w:r>
            <w:r>
              <w:rPr>
                <w:rFonts w:ascii="宋体" w:hAnsi="宋体"/>
                <w:color w:val="auto"/>
                <w:kern w:val="0"/>
                <w:sz w:val="18"/>
                <w:szCs w:val="18"/>
                <w:highlight w:val="none"/>
              </w:rPr>
              <w:t>5</w:t>
            </w:r>
            <w:r>
              <w:rPr>
                <w:rFonts w:hint="eastAsia" w:ascii="宋体" w:hAnsi="宋体"/>
                <w:color w:val="auto"/>
                <w:kern w:val="0"/>
                <w:sz w:val="18"/>
                <w:szCs w:val="18"/>
                <w:highlight w:val="none"/>
              </w:rPr>
              <w:t>00倍液、80％代森锰锌500～800倍液</w:t>
            </w:r>
            <w:r>
              <w:rPr>
                <w:rFonts w:hint="eastAsia" w:ascii="宋体" w:hAnsi="宋体"/>
                <w:color w:val="auto"/>
                <w:kern w:val="0"/>
                <w:sz w:val="18"/>
                <w:szCs w:val="18"/>
                <w:highlight w:val="none"/>
                <w:lang w:val="en-US" w:eastAsia="zh-CN"/>
              </w:rPr>
              <w:t>等</w:t>
            </w:r>
            <w:r>
              <w:rPr>
                <w:rFonts w:hint="eastAsia" w:ascii="宋体" w:hAnsi="宋体"/>
                <w:color w:val="auto"/>
                <w:kern w:val="0"/>
                <w:sz w:val="18"/>
                <w:szCs w:val="18"/>
                <w:highlight w:val="none"/>
              </w:rPr>
              <w:t>。</w:t>
            </w:r>
          </w:p>
        </w:tc>
        <w:tc>
          <w:tcPr>
            <w:tcW w:w="1325" w:type="dxa"/>
            <w:vMerge w:val="continue"/>
            <w:tcBorders>
              <w:left w:val="single" w:color="auto" w:sz="4" w:space="0"/>
              <w:right w:val="single" w:color="auto" w:sz="8" w:space="0"/>
            </w:tcBorders>
            <w:vAlign w:val="center"/>
          </w:tcPr>
          <w:p w14:paraId="1A3DDB5F">
            <w:pPr>
              <w:spacing w:line="240" w:lineRule="auto"/>
              <w:ind w:left="141" w:leftChars="67" w:right="105" w:rightChars="50"/>
              <w:jc w:val="center"/>
              <w:rPr>
                <w:rFonts w:hint="eastAsia" w:ascii="宋体" w:hAnsi="宋体"/>
                <w:color w:val="auto"/>
                <w:kern w:val="0"/>
                <w:sz w:val="18"/>
                <w:szCs w:val="18"/>
                <w:highlight w:val="none"/>
              </w:rPr>
            </w:pPr>
          </w:p>
        </w:tc>
      </w:tr>
      <w:tr w14:paraId="4CB98095">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412" w:hRule="atLeast"/>
          <w:jc w:val="center"/>
        </w:trPr>
        <w:tc>
          <w:tcPr>
            <w:tcW w:w="764" w:type="dxa"/>
            <w:vMerge w:val="restart"/>
            <w:tcBorders>
              <w:top w:val="single" w:color="auto" w:sz="4" w:space="0"/>
              <w:left w:val="single" w:color="auto" w:sz="8" w:space="0"/>
              <w:bottom w:val="single" w:color="auto" w:sz="4" w:space="0"/>
            </w:tcBorders>
            <w:shd w:val="clear" w:color="auto" w:fill="auto"/>
            <w:vAlign w:val="center"/>
          </w:tcPr>
          <w:p w14:paraId="306380B3">
            <w:pPr>
              <w:spacing w:line="240" w:lineRule="auto"/>
              <w:jc w:val="center"/>
              <w:rPr>
                <w:rFonts w:ascii="宋体" w:hAnsi="宋体"/>
                <w:color w:val="auto"/>
                <w:kern w:val="0"/>
                <w:sz w:val="18"/>
                <w:szCs w:val="18"/>
                <w:highlight w:val="none"/>
              </w:rPr>
            </w:pPr>
            <w:r>
              <w:rPr>
                <w:rFonts w:hint="eastAsia" w:ascii="宋体" w:hAnsi="宋体"/>
                <w:color w:val="auto"/>
                <w:kern w:val="0"/>
                <w:sz w:val="18"/>
                <w:szCs w:val="18"/>
                <w:highlight w:val="none"/>
              </w:rPr>
              <w:t>白粉病</w:t>
            </w:r>
          </w:p>
        </w:tc>
        <w:tc>
          <w:tcPr>
            <w:tcW w:w="2193" w:type="dxa"/>
            <w:gridSpan w:val="2"/>
            <w:vMerge w:val="restart"/>
            <w:tcBorders>
              <w:top w:val="single" w:color="auto" w:sz="4" w:space="0"/>
              <w:bottom w:val="single" w:color="auto" w:sz="4" w:space="0"/>
            </w:tcBorders>
            <w:shd w:val="clear" w:color="auto" w:fill="auto"/>
            <w:vAlign w:val="center"/>
          </w:tcPr>
          <w:p w14:paraId="0C2C92AD">
            <w:pPr>
              <w:spacing w:line="240" w:lineRule="auto"/>
              <w:ind w:left="105" w:leftChars="50" w:right="105" w:rightChars="50"/>
              <w:jc w:val="center"/>
              <w:rPr>
                <w:rFonts w:hint="eastAsia" w:ascii="宋体" w:hAnsi="宋体" w:eastAsia="宋体"/>
                <w:color w:val="auto"/>
                <w:kern w:val="0"/>
                <w:sz w:val="18"/>
                <w:szCs w:val="18"/>
                <w:highlight w:val="none"/>
                <w:lang w:eastAsia="zh-CN"/>
              </w:rPr>
            </w:pPr>
            <w:r>
              <w:rPr>
                <w:rFonts w:hint="eastAsia" w:ascii="宋体" w:hAnsi="宋体"/>
                <w:color w:val="auto"/>
                <w:kern w:val="0"/>
                <w:sz w:val="18"/>
                <w:szCs w:val="18"/>
                <w:highlight w:val="none"/>
                <w:lang w:eastAsia="zh-CN"/>
              </w:rPr>
              <w:t>坐果后至采收前</w:t>
            </w:r>
          </w:p>
        </w:tc>
        <w:tc>
          <w:tcPr>
            <w:tcW w:w="1200" w:type="dxa"/>
            <w:tcBorders>
              <w:top w:val="single" w:color="auto" w:sz="4" w:space="0"/>
              <w:bottom w:val="single" w:color="auto" w:sz="4" w:space="0"/>
            </w:tcBorders>
            <w:shd w:val="clear" w:color="auto" w:fill="auto"/>
            <w:vAlign w:val="center"/>
          </w:tcPr>
          <w:p w14:paraId="47B16849">
            <w:pPr>
              <w:spacing w:line="240" w:lineRule="auto"/>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生物药剂</w:t>
            </w:r>
          </w:p>
        </w:tc>
        <w:tc>
          <w:tcPr>
            <w:tcW w:w="3952" w:type="dxa"/>
            <w:tcBorders>
              <w:top w:val="single" w:color="auto" w:sz="4" w:space="0"/>
              <w:bottom w:val="single" w:color="auto" w:sz="4" w:space="0"/>
              <w:right w:val="single" w:color="auto" w:sz="4" w:space="0"/>
            </w:tcBorders>
            <w:shd w:val="clear" w:color="auto" w:fill="auto"/>
            <w:vAlign w:val="center"/>
          </w:tcPr>
          <w:p w14:paraId="1294DE8D">
            <w:pPr>
              <w:widowControl/>
              <w:spacing w:line="240" w:lineRule="auto"/>
              <w:ind w:left="141" w:leftChars="67" w:right="136" w:rightChars="65"/>
              <w:rPr>
                <w:rFonts w:hint="eastAsia" w:ascii="宋体" w:hAnsi="宋体" w:eastAsia="宋体"/>
                <w:color w:val="auto"/>
                <w:kern w:val="0"/>
                <w:sz w:val="18"/>
                <w:szCs w:val="18"/>
                <w:highlight w:val="none"/>
                <w:lang w:eastAsia="zh-CN"/>
              </w:rPr>
            </w:pPr>
            <w:r>
              <w:rPr>
                <w:rFonts w:hint="eastAsia" w:ascii="宋体" w:hAnsi="宋体"/>
                <w:color w:val="auto"/>
                <w:kern w:val="0"/>
                <w:sz w:val="18"/>
                <w:szCs w:val="18"/>
                <w:highlight w:val="none"/>
              </w:rPr>
              <w:t>1％蛇床子素1</w:t>
            </w:r>
            <w:r>
              <w:rPr>
                <w:rFonts w:hint="eastAsia" w:ascii="宋体" w:hAnsi="宋体"/>
                <w:color w:val="auto"/>
                <w:kern w:val="0"/>
                <w:sz w:val="18"/>
                <w:szCs w:val="18"/>
                <w:highlight w:val="none"/>
                <w:vertAlign w:val="subscript"/>
              </w:rPr>
              <w:t xml:space="preserve"> </w:t>
            </w:r>
            <w:r>
              <w:rPr>
                <w:rFonts w:hint="eastAsia" w:ascii="宋体" w:hAnsi="宋体"/>
                <w:color w:val="auto"/>
                <w:kern w:val="0"/>
                <w:sz w:val="18"/>
                <w:szCs w:val="18"/>
                <w:highlight w:val="none"/>
              </w:rPr>
              <w:t>000～2</w:t>
            </w:r>
            <w:r>
              <w:rPr>
                <w:rFonts w:hint="eastAsia" w:ascii="宋体" w:hAnsi="宋体"/>
                <w:color w:val="auto"/>
                <w:kern w:val="0"/>
                <w:sz w:val="18"/>
                <w:szCs w:val="18"/>
                <w:highlight w:val="none"/>
                <w:vertAlign w:val="subscript"/>
              </w:rPr>
              <w:t xml:space="preserve"> </w:t>
            </w:r>
            <w:r>
              <w:rPr>
                <w:rFonts w:hint="eastAsia" w:ascii="宋体" w:hAnsi="宋体"/>
                <w:color w:val="auto"/>
                <w:kern w:val="0"/>
                <w:sz w:val="18"/>
                <w:szCs w:val="18"/>
                <w:highlight w:val="none"/>
              </w:rPr>
              <w:t>000倍液、10％多抗霉素800～1</w:t>
            </w:r>
            <w:r>
              <w:rPr>
                <w:rFonts w:hint="eastAsia" w:ascii="宋体" w:hAnsi="宋体"/>
                <w:color w:val="auto"/>
                <w:kern w:val="0"/>
                <w:sz w:val="18"/>
                <w:szCs w:val="18"/>
                <w:highlight w:val="none"/>
                <w:vertAlign w:val="subscript"/>
              </w:rPr>
              <w:t xml:space="preserve"> </w:t>
            </w:r>
            <w:r>
              <w:rPr>
                <w:rFonts w:hint="eastAsia" w:ascii="宋体" w:hAnsi="宋体"/>
                <w:color w:val="auto"/>
                <w:kern w:val="0"/>
                <w:sz w:val="18"/>
                <w:szCs w:val="18"/>
                <w:highlight w:val="none"/>
              </w:rPr>
              <w:t>000倍液</w:t>
            </w:r>
            <w:r>
              <w:rPr>
                <w:rFonts w:hint="eastAsia" w:ascii="宋体" w:hAnsi="宋体"/>
                <w:color w:val="auto"/>
                <w:kern w:val="0"/>
                <w:sz w:val="18"/>
                <w:szCs w:val="18"/>
                <w:highlight w:val="none"/>
                <w:lang w:val="en-US" w:eastAsia="zh-CN"/>
              </w:rPr>
              <w:t>等</w:t>
            </w:r>
            <w:r>
              <w:rPr>
                <w:rFonts w:hint="eastAsia" w:ascii="宋体" w:hAnsi="宋体"/>
                <w:color w:val="auto"/>
                <w:kern w:val="0"/>
                <w:sz w:val="18"/>
                <w:szCs w:val="18"/>
                <w:highlight w:val="none"/>
                <w:lang w:eastAsia="zh-CN"/>
              </w:rPr>
              <w:t>。</w:t>
            </w:r>
          </w:p>
        </w:tc>
        <w:tc>
          <w:tcPr>
            <w:tcW w:w="1325" w:type="dxa"/>
            <w:vMerge w:val="continue"/>
            <w:tcBorders>
              <w:left w:val="single" w:color="auto" w:sz="4" w:space="0"/>
              <w:right w:val="single" w:color="auto" w:sz="8" w:space="0"/>
            </w:tcBorders>
            <w:vAlign w:val="center"/>
          </w:tcPr>
          <w:p w14:paraId="627C4D7C">
            <w:pPr>
              <w:widowControl/>
              <w:spacing w:line="240" w:lineRule="auto"/>
              <w:ind w:left="141" w:leftChars="67" w:right="136" w:rightChars="65"/>
              <w:jc w:val="center"/>
              <w:rPr>
                <w:rFonts w:hint="eastAsia" w:ascii="宋体" w:hAnsi="宋体"/>
                <w:color w:val="auto"/>
                <w:kern w:val="0"/>
                <w:sz w:val="18"/>
                <w:szCs w:val="18"/>
                <w:highlight w:val="none"/>
              </w:rPr>
            </w:pPr>
          </w:p>
        </w:tc>
      </w:tr>
      <w:tr w14:paraId="24BF029C">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817" w:hRule="atLeast"/>
          <w:jc w:val="center"/>
        </w:trPr>
        <w:tc>
          <w:tcPr>
            <w:tcW w:w="764" w:type="dxa"/>
            <w:vMerge w:val="continue"/>
            <w:tcBorders>
              <w:top w:val="single" w:color="auto" w:sz="4" w:space="0"/>
              <w:left w:val="single" w:color="auto" w:sz="8" w:space="0"/>
              <w:bottom w:val="single" w:color="auto" w:sz="8" w:space="0"/>
            </w:tcBorders>
            <w:shd w:val="clear" w:color="auto" w:fill="auto"/>
            <w:vAlign w:val="center"/>
          </w:tcPr>
          <w:p w14:paraId="005EE730">
            <w:pPr>
              <w:spacing w:line="240" w:lineRule="auto"/>
              <w:jc w:val="center"/>
              <w:rPr>
                <w:rFonts w:ascii="宋体" w:hAnsi="宋体"/>
                <w:color w:val="auto"/>
                <w:kern w:val="0"/>
                <w:sz w:val="18"/>
                <w:szCs w:val="18"/>
                <w:highlight w:val="none"/>
              </w:rPr>
            </w:pPr>
          </w:p>
        </w:tc>
        <w:tc>
          <w:tcPr>
            <w:tcW w:w="2193" w:type="dxa"/>
            <w:gridSpan w:val="2"/>
            <w:vMerge w:val="continue"/>
            <w:tcBorders>
              <w:top w:val="single" w:color="auto" w:sz="4" w:space="0"/>
              <w:bottom w:val="single" w:color="auto" w:sz="8" w:space="0"/>
            </w:tcBorders>
            <w:shd w:val="clear" w:color="auto" w:fill="auto"/>
            <w:vAlign w:val="center"/>
          </w:tcPr>
          <w:p w14:paraId="77A6CC1C">
            <w:pPr>
              <w:spacing w:line="240" w:lineRule="auto"/>
              <w:ind w:left="105" w:leftChars="50" w:right="105" w:rightChars="50"/>
              <w:rPr>
                <w:rFonts w:ascii="宋体" w:hAnsi="宋体"/>
                <w:color w:val="auto"/>
                <w:kern w:val="0"/>
                <w:sz w:val="18"/>
                <w:szCs w:val="18"/>
                <w:highlight w:val="none"/>
              </w:rPr>
            </w:pPr>
          </w:p>
        </w:tc>
        <w:tc>
          <w:tcPr>
            <w:tcW w:w="1200" w:type="dxa"/>
            <w:tcBorders>
              <w:top w:val="single" w:color="auto" w:sz="4" w:space="0"/>
              <w:bottom w:val="single" w:color="auto" w:sz="8" w:space="0"/>
            </w:tcBorders>
            <w:shd w:val="clear" w:color="auto" w:fill="auto"/>
            <w:vAlign w:val="center"/>
          </w:tcPr>
          <w:p w14:paraId="78AB8B24">
            <w:pPr>
              <w:spacing w:line="240" w:lineRule="auto"/>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化学药剂</w:t>
            </w:r>
          </w:p>
        </w:tc>
        <w:tc>
          <w:tcPr>
            <w:tcW w:w="3952" w:type="dxa"/>
            <w:tcBorders>
              <w:top w:val="single" w:color="auto" w:sz="4" w:space="0"/>
              <w:bottom w:val="single" w:color="auto" w:sz="8" w:space="0"/>
              <w:right w:val="single" w:color="auto" w:sz="4" w:space="0"/>
            </w:tcBorders>
            <w:shd w:val="clear" w:color="auto" w:fill="auto"/>
            <w:vAlign w:val="center"/>
          </w:tcPr>
          <w:p w14:paraId="025785B8">
            <w:pPr>
              <w:spacing w:line="240" w:lineRule="auto"/>
              <w:ind w:left="141" w:leftChars="67" w:right="105" w:rightChars="50"/>
              <w:rPr>
                <w:rFonts w:ascii="宋体" w:hAnsi="宋体"/>
                <w:color w:val="auto"/>
                <w:kern w:val="0"/>
                <w:sz w:val="18"/>
                <w:szCs w:val="18"/>
                <w:highlight w:val="none"/>
              </w:rPr>
            </w:pPr>
            <w:r>
              <w:rPr>
                <w:rFonts w:hint="eastAsia" w:ascii="宋体" w:hAnsi="宋体"/>
                <w:color w:val="auto"/>
                <w:kern w:val="0"/>
                <w:sz w:val="18"/>
                <w:szCs w:val="18"/>
                <w:highlight w:val="none"/>
              </w:rPr>
              <w:t>36％甲基硫菌灵800～1</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000倍液、29％戊唑·嘧菌酯2</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000～2</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500倍液、25％吡唑醚菌酯1</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500～2</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500倍液</w:t>
            </w:r>
            <w:r>
              <w:rPr>
                <w:rFonts w:hint="eastAsia" w:ascii="宋体" w:hAnsi="宋体"/>
                <w:color w:val="auto"/>
                <w:kern w:val="0"/>
                <w:sz w:val="18"/>
                <w:szCs w:val="18"/>
                <w:highlight w:val="none"/>
                <w:lang w:val="en-US" w:eastAsia="zh-CN"/>
              </w:rPr>
              <w:t>等</w:t>
            </w:r>
            <w:r>
              <w:rPr>
                <w:rFonts w:hint="eastAsia" w:ascii="宋体" w:hAnsi="宋体" w:cs="宋体"/>
                <w:color w:val="auto"/>
                <w:kern w:val="0"/>
                <w:sz w:val="18"/>
                <w:szCs w:val="18"/>
                <w:highlight w:val="none"/>
              </w:rPr>
              <w:t>。</w:t>
            </w:r>
          </w:p>
        </w:tc>
        <w:tc>
          <w:tcPr>
            <w:tcW w:w="1325" w:type="dxa"/>
            <w:vMerge w:val="continue"/>
            <w:tcBorders>
              <w:left w:val="single" w:color="auto" w:sz="4" w:space="0"/>
              <w:right w:val="single" w:color="auto" w:sz="8" w:space="0"/>
            </w:tcBorders>
            <w:vAlign w:val="center"/>
          </w:tcPr>
          <w:p w14:paraId="0D01BBD2">
            <w:pPr>
              <w:spacing w:line="240" w:lineRule="auto"/>
              <w:ind w:left="141" w:leftChars="67" w:right="105" w:rightChars="50"/>
              <w:jc w:val="center"/>
              <w:rPr>
                <w:rFonts w:hint="eastAsia" w:ascii="宋体" w:hAnsi="宋体"/>
                <w:color w:val="auto"/>
                <w:kern w:val="0"/>
                <w:sz w:val="18"/>
                <w:szCs w:val="18"/>
                <w:highlight w:val="none"/>
              </w:rPr>
            </w:pPr>
          </w:p>
        </w:tc>
      </w:tr>
      <w:tr w14:paraId="351B8992">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757" w:hRule="atLeast"/>
          <w:jc w:val="center"/>
        </w:trPr>
        <w:tc>
          <w:tcPr>
            <w:tcW w:w="764" w:type="dxa"/>
            <w:vMerge w:val="restart"/>
            <w:tcBorders>
              <w:top w:val="single" w:color="auto" w:sz="4" w:space="0"/>
              <w:left w:val="single" w:color="auto" w:sz="8" w:space="0"/>
            </w:tcBorders>
            <w:shd w:val="clear" w:color="auto" w:fill="auto"/>
            <w:vAlign w:val="center"/>
          </w:tcPr>
          <w:p w14:paraId="2164498B">
            <w:pPr>
              <w:spacing w:line="240" w:lineRule="auto"/>
              <w:jc w:val="center"/>
              <w:rPr>
                <w:rFonts w:ascii="宋体" w:hAnsi="宋体"/>
                <w:color w:val="auto"/>
                <w:kern w:val="0"/>
                <w:sz w:val="18"/>
                <w:szCs w:val="18"/>
                <w:highlight w:val="none"/>
              </w:rPr>
            </w:pPr>
            <w:r>
              <w:rPr>
                <w:rFonts w:hint="eastAsia" w:ascii="宋体" w:hAnsi="宋体" w:cs="黑体"/>
                <w:color w:val="auto"/>
                <w:kern w:val="0"/>
                <w:highlight w:val="none"/>
              </w:rPr>
              <w:t>灰霉病</w:t>
            </w:r>
          </w:p>
        </w:tc>
        <w:tc>
          <w:tcPr>
            <w:tcW w:w="2193" w:type="dxa"/>
            <w:gridSpan w:val="2"/>
            <w:vMerge w:val="restart"/>
            <w:tcBorders>
              <w:top w:val="single" w:color="auto" w:sz="4" w:space="0"/>
            </w:tcBorders>
            <w:shd w:val="clear" w:color="auto" w:fill="auto"/>
            <w:vAlign w:val="center"/>
          </w:tcPr>
          <w:p w14:paraId="520D5C68">
            <w:pPr>
              <w:spacing w:line="240" w:lineRule="auto"/>
              <w:ind w:left="105" w:leftChars="50" w:right="105" w:rightChars="50"/>
              <w:jc w:val="center"/>
              <w:rPr>
                <w:rFonts w:hint="eastAsia" w:ascii="宋体" w:hAnsi="宋体" w:eastAsia="宋体"/>
                <w:color w:val="auto"/>
                <w:kern w:val="0"/>
                <w:sz w:val="18"/>
                <w:szCs w:val="18"/>
                <w:highlight w:val="none"/>
                <w:lang w:eastAsia="zh-CN"/>
              </w:rPr>
            </w:pPr>
            <w:r>
              <w:rPr>
                <w:rFonts w:hint="eastAsia" w:ascii="宋体" w:hAnsi="宋体"/>
                <w:color w:val="auto"/>
                <w:kern w:val="0"/>
                <w:sz w:val="18"/>
                <w:szCs w:val="18"/>
                <w:highlight w:val="none"/>
                <w:lang w:eastAsia="zh-CN"/>
              </w:rPr>
              <w:t>开花前至开花坐果期</w:t>
            </w:r>
          </w:p>
        </w:tc>
        <w:tc>
          <w:tcPr>
            <w:tcW w:w="1200" w:type="dxa"/>
            <w:tcBorders>
              <w:top w:val="single" w:color="auto" w:sz="4" w:space="0"/>
              <w:bottom w:val="single" w:color="auto" w:sz="8" w:space="0"/>
            </w:tcBorders>
            <w:shd w:val="clear" w:color="auto" w:fill="auto"/>
            <w:vAlign w:val="center"/>
          </w:tcPr>
          <w:p w14:paraId="741A9F32">
            <w:pPr>
              <w:spacing w:line="240" w:lineRule="auto"/>
              <w:ind w:left="105" w:leftChars="50" w:right="105" w:rightChars="50"/>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生物药剂</w:t>
            </w:r>
          </w:p>
        </w:tc>
        <w:tc>
          <w:tcPr>
            <w:tcW w:w="3952" w:type="dxa"/>
            <w:tcBorders>
              <w:top w:val="single" w:color="auto" w:sz="4" w:space="0"/>
              <w:bottom w:val="single" w:color="auto" w:sz="8" w:space="0"/>
              <w:right w:val="single" w:color="auto" w:sz="4" w:space="0"/>
            </w:tcBorders>
            <w:shd w:val="clear" w:color="auto" w:fill="auto"/>
            <w:vAlign w:val="center"/>
          </w:tcPr>
          <w:p w14:paraId="5268A912">
            <w:pPr>
              <w:spacing w:line="240" w:lineRule="auto"/>
              <w:ind w:left="141" w:leftChars="67" w:right="105" w:rightChars="50"/>
              <w:rPr>
                <w:rFonts w:hint="eastAsia" w:ascii="宋体" w:hAnsi="宋体" w:eastAsia="宋体"/>
                <w:color w:val="auto"/>
                <w:kern w:val="0"/>
                <w:sz w:val="18"/>
                <w:szCs w:val="18"/>
                <w:highlight w:val="none"/>
                <w:lang w:val="en-US" w:eastAsia="zh-CN"/>
              </w:rPr>
            </w:pPr>
            <w:r>
              <w:rPr>
                <w:rFonts w:hint="eastAsia" w:ascii="宋体" w:hAnsi="宋体"/>
                <w:color w:val="auto"/>
                <w:kern w:val="0"/>
                <w:sz w:val="18"/>
                <w:szCs w:val="18"/>
                <w:highlight w:val="none"/>
              </w:rPr>
              <w:t>10％多抗霉素800～1</w:t>
            </w:r>
            <w:r>
              <w:rPr>
                <w:rFonts w:hint="eastAsia" w:ascii="宋体" w:hAnsi="宋体"/>
                <w:color w:val="auto"/>
                <w:kern w:val="0"/>
                <w:sz w:val="18"/>
                <w:szCs w:val="18"/>
                <w:highlight w:val="none"/>
                <w:vertAlign w:val="subscript"/>
              </w:rPr>
              <w:t xml:space="preserve"> </w:t>
            </w:r>
            <w:r>
              <w:rPr>
                <w:rFonts w:hint="eastAsia" w:ascii="宋体" w:hAnsi="宋体"/>
                <w:color w:val="auto"/>
                <w:kern w:val="0"/>
                <w:sz w:val="18"/>
                <w:szCs w:val="18"/>
                <w:highlight w:val="none"/>
              </w:rPr>
              <w:t>000倍液</w:t>
            </w:r>
            <w:r>
              <w:rPr>
                <w:rFonts w:hint="eastAsia" w:ascii="宋体" w:hAnsi="宋体"/>
                <w:color w:val="auto"/>
                <w:kern w:val="0"/>
                <w:sz w:val="18"/>
                <w:szCs w:val="18"/>
                <w:highlight w:val="none"/>
                <w:lang w:eastAsia="zh-CN"/>
              </w:rPr>
              <w:t>、</w:t>
            </w:r>
            <w:r>
              <w:rPr>
                <w:rFonts w:hint="eastAsia" w:ascii="宋体" w:hAnsi="宋体"/>
                <w:color w:val="auto"/>
                <w:kern w:val="0"/>
                <w:sz w:val="18"/>
                <w:szCs w:val="18"/>
                <w:highlight w:val="none"/>
              </w:rPr>
              <w:t>哈茨木霉菌（3亿CFU/g）200～250倍液</w:t>
            </w:r>
            <w:r>
              <w:rPr>
                <w:rFonts w:hint="eastAsia" w:ascii="宋体" w:hAnsi="宋体"/>
                <w:color w:val="auto"/>
                <w:kern w:val="0"/>
                <w:sz w:val="18"/>
                <w:szCs w:val="18"/>
                <w:highlight w:val="none"/>
                <w:lang w:val="en-US" w:eastAsia="zh-CN"/>
              </w:rPr>
              <w:t>等</w:t>
            </w:r>
            <w:r>
              <w:rPr>
                <w:rFonts w:hint="eastAsia" w:ascii="宋体" w:hAnsi="宋体"/>
                <w:color w:val="auto"/>
                <w:kern w:val="0"/>
                <w:sz w:val="18"/>
                <w:szCs w:val="18"/>
                <w:highlight w:val="none"/>
                <w:lang w:eastAsia="zh-CN"/>
              </w:rPr>
              <w:t>。</w:t>
            </w:r>
          </w:p>
        </w:tc>
        <w:tc>
          <w:tcPr>
            <w:tcW w:w="1325" w:type="dxa"/>
            <w:vMerge w:val="continue"/>
            <w:tcBorders>
              <w:left w:val="single" w:color="auto" w:sz="4" w:space="0"/>
              <w:right w:val="single" w:color="auto" w:sz="8" w:space="0"/>
            </w:tcBorders>
            <w:vAlign w:val="center"/>
          </w:tcPr>
          <w:p w14:paraId="0341A0FE">
            <w:pPr>
              <w:spacing w:line="240" w:lineRule="auto"/>
              <w:ind w:left="141" w:leftChars="67" w:right="105" w:rightChars="50"/>
              <w:jc w:val="center"/>
              <w:rPr>
                <w:rFonts w:hint="eastAsia" w:ascii="宋体" w:hAnsi="宋体"/>
                <w:color w:val="auto"/>
                <w:kern w:val="0"/>
                <w:sz w:val="18"/>
                <w:szCs w:val="18"/>
                <w:highlight w:val="none"/>
              </w:rPr>
            </w:pPr>
          </w:p>
        </w:tc>
      </w:tr>
      <w:tr w14:paraId="73F60B35">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670" w:hRule="atLeast"/>
          <w:jc w:val="center"/>
        </w:trPr>
        <w:tc>
          <w:tcPr>
            <w:tcW w:w="764" w:type="dxa"/>
            <w:vMerge w:val="continue"/>
            <w:tcBorders>
              <w:left w:val="single" w:color="auto" w:sz="8" w:space="0"/>
              <w:bottom w:val="single" w:color="auto" w:sz="8" w:space="0"/>
            </w:tcBorders>
            <w:shd w:val="clear" w:color="auto" w:fill="auto"/>
            <w:vAlign w:val="center"/>
          </w:tcPr>
          <w:p w14:paraId="33BBDF0A">
            <w:pPr>
              <w:spacing w:line="240" w:lineRule="auto"/>
              <w:jc w:val="center"/>
              <w:rPr>
                <w:rFonts w:ascii="宋体" w:hAnsi="宋体"/>
                <w:color w:val="auto"/>
                <w:kern w:val="0"/>
                <w:sz w:val="18"/>
                <w:szCs w:val="18"/>
                <w:highlight w:val="none"/>
              </w:rPr>
            </w:pPr>
          </w:p>
        </w:tc>
        <w:tc>
          <w:tcPr>
            <w:tcW w:w="2193" w:type="dxa"/>
            <w:gridSpan w:val="2"/>
            <w:vMerge w:val="continue"/>
            <w:tcBorders>
              <w:bottom w:val="single" w:color="auto" w:sz="8" w:space="0"/>
            </w:tcBorders>
            <w:shd w:val="clear" w:color="auto" w:fill="auto"/>
            <w:vAlign w:val="center"/>
          </w:tcPr>
          <w:p w14:paraId="00AAF114">
            <w:pPr>
              <w:spacing w:line="240" w:lineRule="auto"/>
              <w:ind w:left="105" w:leftChars="50" w:right="105" w:rightChars="50"/>
              <w:rPr>
                <w:rFonts w:ascii="宋体" w:hAnsi="宋体"/>
                <w:color w:val="auto"/>
                <w:kern w:val="0"/>
                <w:sz w:val="18"/>
                <w:szCs w:val="18"/>
                <w:highlight w:val="none"/>
              </w:rPr>
            </w:pPr>
          </w:p>
        </w:tc>
        <w:tc>
          <w:tcPr>
            <w:tcW w:w="1200" w:type="dxa"/>
            <w:tcBorders>
              <w:top w:val="single" w:color="auto" w:sz="4" w:space="0"/>
              <w:bottom w:val="single" w:color="auto" w:sz="8" w:space="0"/>
            </w:tcBorders>
            <w:shd w:val="clear" w:color="auto" w:fill="auto"/>
            <w:vAlign w:val="center"/>
          </w:tcPr>
          <w:p w14:paraId="79437A87">
            <w:pPr>
              <w:spacing w:line="240" w:lineRule="auto"/>
              <w:ind w:left="105" w:leftChars="50" w:right="105" w:rightChars="50"/>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化学药剂</w:t>
            </w:r>
          </w:p>
        </w:tc>
        <w:tc>
          <w:tcPr>
            <w:tcW w:w="3952" w:type="dxa"/>
            <w:tcBorders>
              <w:top w:val="single" w:color="auto" w:sz="4" w:space="0"/>
              <w:bottom w:val="single" w:color="auto" w:sz="8" w:space="0"/>
              <w:right w:val="single" w:color="auto" w:sz="4" w:space="0"/>
            </w:tcBorders>
            <w:shd w:val="clear" w:color="auto" w:fill="auto"/>
            <w:vAlign w:val="center"/>
          </w:tcPr>
          <w:p w14:paraId="3BCBDA6C">
            <w:pPr>
              <w:spacing w:line="240" w:lineRule="auto"/>
              <w:ind w:left="141" w:leftChars="67" w:right="105" w:rightChars="50"/>
              <w:rPr>
                <w:rFonts w:hint="eastAsia" w:ascii="宋体" w:hAnsi="宋体" w:eastAsia="宋体"/>
                <w:color w:val="auto"/>
                <w:kern w:val="0"/>
                <w:sz w:val="18"/>
                <w:szCs w:val="18"/>
                <w:highlight w:val="none"/>
                <w:lang w:eastAsia="zh-CN"/>
              </w:rPr>
            </w:pPr>
            <w:r>
              <w:rPr>
                <w:rFonts w:hint="eastAsia" w:ascii="宋体" w:hAnsi="宋体"/>
                <w:color w:val="auto"/>
                <w:kern w:val="0"/>
                <w:sz w:val="18"/>
                <w:szCs w:val="18"/>
                <w:highlight w:val="none"/>
              </w:rPr>
              <w:t>80％代森锰锌500～800倍液</w:t>
            </w:r>
            <w:r>
              <w:rPr>
                <w:rFonts w:hint="eastAsia" w:ascii="宋体" w:hAnsi="宋体"/>
                <w:color w:val="auto"/>
                <w:kern w:val="0"/>
                <w:sz w:val="18"/>
                <w:szCs w:val="18"/>
                <w:highlight w:val="none"/>
                <w:lang w:eastAsia="zh-CN"/>
              </w:rPr>
              <w:t>、</w:t>
            </w:r>
            <w:r>
              <w:rPr>
                <w:rFonts w:hint="eastAsia" w:ascii="宋体" w:hAnsi="宋体"/>
                <w:color w:val="auto"/>
                <w:kern w:val="0"/>
                <w:sz w:val="18"/>
                <w:szCs w:val="18"/>
                <w:highlight w:val="none"/>
              </w:rPr>
              <w:t>36％甲基硫菌灵800～1</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000倍液</w:t>
            </w:r>
            <w:r>
              <w:rPr>
                <w:rFonts w:hint="eastAsia" w:ascii="宋体" w:hAnsi="宋体"/>
                <w:color w:val="auto"/>
                <w:kern w:val="0"/>
                <w:sz w:val="18"/>
                <w:szCs w:val="18"/>
                <w:highlight w:val="none"/>
                <w:lang w:val="en-US" w:eastAsia="zh-CN"/>
              </w:rPr>
              <w:t>等</w:t>
            </w:r>
            <w:r>
              <w:rPr>
                <w:rFonts w:hint="eastAsia" w:ascii="宋体" w:hAnsi="宋体"/>
                <w:color w:val="auto"/>
                <w:kern w:val="0"/>
                <w:sz w:val="18"/>
                <w:szCs w:val="18"/>
                <w:highlight w:val="none"/>
                <w:lang w:eastAsia="zh-CN"/>
              </w:rPr>
              <w:t>。</w:t>
            </w:r>
          </w:p>
        </w:tc>
        <w:tc>
          <w:tcPr>
            <w:tcW w:w="1325" w:type="dxa"/>
            <w:vMerge w:val="continue"/>
            <w:tcBorders>
              <w:left w:val="single" w:color="auto" w:sz="4" w:space="0"/>
              <w:right w:val="single" w:color="auto" w:sz="8" w:space="0"/>
            </w:tcBorders>
            <w:vAlign w:val="center"/>
          </w:tcPr>
          <w:p w14:paraId="432AE69E">
            <w:pPr>
              <w:spacing w:line="240" w:lineRule="auto"/>
              <w:ind w:left="141" w:leftChars="67" w:right="105" w:rightChars="50"/>
              <w:jc w:val="center"/>
              <w:rPr>
                <w:rFonts w:hint="eastAsia" w:ascii="宋体" w:hAnsi="宋体"/>
                <w:color w:val="auto"/>
                <w:kern w:val="0"/>
                <w:sz w:val="18"/>
                <w:szCs w:val="18"/>
                <w:highlight w:val="none"/>
              </w:rPr>
            </w:pPr>
          </w:p>
        </w:tc>
      </w:tr>
      <w:tr w14:paraId="1288AF01">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744" w:hRule="atLeast"/>
          <w:jc w:val="center"/>
        </w:trPr>
        <w:tc>
          <w:tcPr>
            <w:tcW w:w="764" w:type="dxa"/>
            <w:vMerge w:val="restart"/>
            <w:tcBorders>
              <w:left w:val="single" w:color="auto" w:sz="8" w:space="0"/>
            </w:tcBorders>
            <w:shd w:val="clear" w:color="auto" w:fill="auto"/>
            <w:vAlign w:val="center"/>
          </w:tcPr>
          <w:p w14:paraId="13F2D914">
            <w:pPr>
              <w:spacing w:line="240" w:lineRule="auto"/>
              <w:jc w:val="center"/>
              <w:rPr>
                <w:rFonts w:ascii="宋体" w:hAnsi="宋体"/>
                <w:color w:val="auto"/>
                <w:kern w:val="0"/>
                <w:sz w:val="18"/>
                <w:szCs w:val="18"/>
                <w:highlight w:val="none"/>
              </w:rPr>
            </w:pPr>
            <w:r>
              <w:rPr>
                <w:rFonts w:hint="eastAsia" w:ascii="宋体" w:hAnsi="宋体" w:cs="黑体"/>
                <w:color w:val="auto"/>
                <w:kern w:val="0"/>
                <w:highlight w:val="none"/>
              </w:rPr>
              <w:t>炭疽病</w:t>
            </w:r>
          </w:p>
        </w:tc>
        <w:tc>
          <w:tcPr>
            <w:tcW w:w="2193" w:type="dxa"/>
            <w:gridSpan w:val="2"/>
            <w:vMerge w:val="restart"/>
            <w:shd w:val="clear" w:color="auto" w:fill="auto"/>
            <w:vAlign w:val="center"/>
          </w:tcPr>
          <w:p w14:paraId="0A32643D">
            <w:pPr>
              <w:spacing w:line="240" w:lineRule="auto"/>
              <w:ind w:left="105" w:leftChars="50" w:right="105" w:rightChars="50"/>
              <w:jc w:val="center"/>
              <w:rPr>
                <w:rFonts w:hint="eastAsia" w:ascii="宋体" w:hAnsi="宋体" w:eastAsia="宋体"/>
                <w:color w:val="auto"/>
                <w:kern w:val="0"/>
                <w:sz w:val="18"/>
                <w:szCs w:val="18"/>
                <w:highlight w:val="none"/>
                <w:lang w:val="en-US" w:eastAsia="zh-CN"/>
              </w:rPr>
            </w:pPr>
            <w:r>
              <w:rPr>
                <w:rFonts w:hint="eastAsia" w:ascii="宋体" w:hAnsi="宋体"/>
                <w:color w:val="auto"/>
                <w:kern w:val="0"/>
                <w:sz w:val="18"/>
                <w:szCs w:val="18"/>
                <w:highlight w:val="none"/>
              </w:rPr>
              <w:t>6～</w:t>
            </w:r>
            <w:r>
              <w:rPr>
                <w:rFonts w:hint="eastAsia" w:ascii="宋体" w:hAnsi="宋体"/>
                <w:color w:val="auto"/>
                <w:kern w:val="0"/>
                <w:sz w:val="18"/>
                <w:szCs w:val="18"/>
                <w:highlight w:val="none"/>
                <w:lang w:val="en-US" w:eastAsia="zh-CN"/>
              </w:rPr>
              <w:t>8</w:t>
            </w:r>
            <w:r>
              <w:rPr>
                <w:rFonts w:hint="eastAsia" w:ascii="宋体" w:hAnsi="宋体"/>
                <w:color w:val="auto"/>
                <w:kern w:val="0"/>
                <w:sz w:val="18"/>
                <w:szCs w:val="18"/>
                <w:highlight w:val="none"/>
              </w:rPr>
              <w:t>月</w:t>
            </w:r>
          </w:p>
        </w:tc>
        <w:tc>
          <w:tcPr>
            <w:tcW w:w="1200" w:type="dxa"/>
            <w:tcBorders>
              <w:top w:val="single" w:color="auto" w:sz="4" w:space="0"/>
              <w:bottom w:val="single" w:color="auto" w:sz="8" w:space="0"/>
            </w:tcBorders>
            <w:shd w:val="clear" w:color="auto" w:fill="auto"/>
            <w:vAlign w:val="center"/>
          </w:tcPr>
          <w:p w14:paraId="2709B327">
            <w:pPr>
              <w:spacing w:line="240" w:lineRule="auto"/>
              <w:ind w:left="105" w:leftChars="50" w:right="105" w:rightChars="50"/>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生物药剂</w:t>
            </w:r>
          </w:p>
        </w:tc>
        <w:tc>
          <w:tcPr>
            <w:tcW w:w="3952" w:type="dxa"/>
            <w:tcBorders>
              <w:top w:val="single" w:color="auto" w:sz="4" w:space="0"/>
              <w:bottom w:val="single" w:color="auto" w:sz="8" w:space="0"/>
              <w:right w:val="single" w:color="auto" w:sz="4" w:space="0"/>
            </w:tcBorders>
            <w:shd w:val="clear" w:color="auto" w:fill="auto"/>
            <w:vAlign w:val="center"/>
          </w:tcPr>
          <w:p w14:paraId="02F28DDE">
            <w:pPr>
              <w:spacing w:line="240" w:lineRule="auto"/>
              <w:ind w:left="141" w:leftChars="67" w:right="105" w:rightChars="50"/>
              <w:rPr>
                <w:rFonts w:hint="eastAsia" w:ascii="宋体" w:hAnsi="宋体" w:eastAsia="宋体"/>
                <w:color w:val="auto"/>
                <w:kern w:val="0"/>
                <w:sz w:val="18"/>
                <w:szCs w:val="18"/>
                <w:highlight w:val="none"/>
                <w:lang w:eastAsia="zh-CN"/>
              </w:rPr>
            </w:pPr>
            <w:r>
              <w:rPr>
                <w:rFonts w:hint="eastAsia" w:ascii="宋体" w:hAnsi="宋体"/>
                <w:color w:val="auto"/>
                <w:kern w:val="0"/>
                <w:sz w:val="18"/>
                <w:szCs w:val="18"/>
                <w:highlight w:val="none"/>
              </w:rPr>
              <w:t>6％嘧啶核苷类抗菌素400～600倍液</w:t>
            </w:r>
            <w:r>
              <w:rPr>
                <w:rFonts w:hint="eastAsia" w:ascii="宋体" w:hAnsi="宋体"/>
                <w:color w:val="auto"/>
                <w:kern w:val="0"/>
                <w:sz w:val="18"/>
                <w:szCs w:val="18"/>
                <w:highlight w:val="none"/>
                <w:lang w:eastAsia="zh-CN"/>
              </w:rPr>
              <w:t>、</w:t>
            </w:r>
            <w:r>
              <w:rPr>
                <w:rFonts w:hint="eastAsia" w:ascii="宋体" w:hAnsi="宋体"/>
                <w:color w:val="auto"/>
                <w:kern w:val="0"/>
                <w:sz w:val="18"/>
                <w:szCs w:val="18"/>
                <w:highlight w:val="none"/>
              </w:rPr>
              <w:t>10％多抗霉素800～1</w:t>
            </w:r>
            <w:r>
              <w:rPr>
                <w:rFonts w:hint="eastAsia" w:ascii="宋体" w:hAnsi="宋体"/>
                <w:color w:val="auto"/>
                <w:kern w:val="0"/>
                <w:sz w:val="18"/>
                <w:szCs w:val="18"/>
                <w:highlight w:val="none"/>
                <w:vertAlign w:val="subscript"/>
              </w:rPr>
              <w:t xml:space="preserve"> </w:t>
            </w:r>
            <w:r>
              <w:rPr>
                <w:rFonts w:hint="eastAsia" w:ascii="宋体" w:hAnsi="宋体"/>
                <w:color w:val="auto"/>
                <w:kern w:val="0"/>
                <w:sz w:val="18"/>
                <w:szCs w:val="18"/>
                <w:highlight w:val="none"/>
              </w:rPr>
              <w:t>000倍液</w:t>
            </w:r>
            <w:r>
              <w:rPr>
                <w:rFonts w:hint="eastAsia" w:ascii="宋体" w:hAnsi="宋体"/>
                <w:color w:val="auto"/>
                <w:kern w:val="0"/>
                <w:sz w:val="18"/>
                <w:szCs w:val="18"/>
                <w:highlight w:val="none"/>
                <w:lang w:val="en-US" w:eastAsia="zh-CN"/>
              </w:rPr>
              <w:t>等</w:t>
            </w:r>
            <w:r>
              <w:rPr>
                <w:rFonts w:hint="eastAsia" w:ascii="宋体" w:hAnsi="宋体"/>
                <w:color w:val="auto"/>
                <w:kern w:val="0"/>
                <w:sz w:val="18"/>
                <w:szCs w:val="18"/>
                <w:highlight w:val="none"/>
                <w:lang w:eastAsia="zh-CN"/>
              </w:rPr>
              <w:t>。</w:t>
            </w:r>
          </w:p>
        </w:tc>
        <w:tc>
          <w:tcPr>
            <w:tcW w:w="1325" w:type="dxa"/>
            <w:vMerge w:val="continue"/>
            <w:tcBorders>
              <w:left w:val="single" w:color="auto" w:sz="4" w:space="0"/>
              <w:right w:val="single" w:color="auto" w:sz="8" w:space="0"/>
            </w:tcBorders>
            <w:vAlign w:val="center"/>
          </w:tcPr>
          <w:p w14:paraId="1D8D525C">
            <w:pPr>
              <w:spacing w:line="240" w:lineRule="auto"/>
              <w:ind w:left="141" w:leftChars="67" w:right="105" w:rightChars="50"/>
              <w:jc w:val="center"/>
              <w:rPr>
                <w:rFonts w:hint="eastAsia" w:ascii="宋体" w:hAnsi="宋体"/>
                <w:color w:val="auto"/>
                <w:kern w:val="0"/>
                <w:sz w:val="18"/>
                <w:szCs w:val="18"/>
                <w:highlight w:val="none"/>
              </w:rPr>
            </w:pPr>
          </w:p>
        </w:tc>
      </w:tr>
      <w:tr w14:paraId="7C0BBF5F">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817" w:hRule="atLeast"/>
          <w:jc w:val="center"/>
        </w:trPr>
        <w:tc>
          <w:tcPr>
            <w:tcW w:w="764" w:type="dxa"/>
            <w:vMerge w:val="continue"/>
            <w:tcBorders>
              <w:left w:val="single" w:color="auto" w:sz="8" w:space="0"/>
              <w:bottom w:val="single" w:color="auto" w:sz="8" w:space="0"/>
            </w:tcBorders>
            <w:shd w:val="clear" w:color="auto" w:fill="auto"/>
            <w:vAlign w:val="center"/>
          </w:tcPr>
          <w:p w14:paraId="6BF0C4B9">
            <w:pPr>
              <w:spacing w:line="240" w:lineRule="auto"/>
              <w:jc w:val="center"/>
              <w:rPr>
                <w:rFonts w:ascii="宋体" w:hAnsi="宋体"/>
                <w:color w:val="auto"/>
                <w:kern w:val="0"/>
                <w:sz w:val="18"/>
                <w:szCs w:val="18"/>
                <w:highlight w:val="none"/>
              </w:rPr>
            </w:pPr>
          </w:p>
        </w:tc>
        <w:tc>
          <w:tcPr>
            <w:tcW w:w="2193" w:type="dxa"/>
            <w:gridSpan w:val="2"/>
            <w:vMerge w:val="continue"/>
            <w:tcBorders>
              <w:bottom w:val="single" w:color="auto" w:sz="8" w:space="0"/>
            </w:tcBorders>
            <w:shd w:val="clear" w:color="auto" w:fill="auto"/>
            <w:vAlign w:val="center"/>
          </w:tcPr>
          <w:p w14:paraId="45D58A81">
            <w:pPr>
              <w:spacing w:line="240" w:lineRule="auto"/>
              <w:ind w:left="105" w:leftChars="50" w:right="105" w:rightChars="50"/>
              <w:rPr>
                <w:rFonts w:ascii="宋体" w:hAnsi="宋体"/>
                <w:color w:val="auto"/>
                <w:kern w:val="0"/>
                <w:sz w:val="18"/>
                <w:szCs w:val="18"/>
                <w:highlight w:val="none"/>
              </w:rPr>
            </w:pPr>
          </w:p>
        </w:tc>
        <w:tc>
          <w:tcPr>
            <w:tcW w:w="1200" w:type="dxa"/>
            <w:tcBorders>
              <w:top w:val="single" w:color="auto" w:sz="4" w:space="0"/>
              <w:bottom w:val="single" w:color="auto" w:sz="8" w:space="0"/>
            </w:tcBorders>
            <w:shd w:val="clear" w:color="auto" w:fill="auto"/>
            <w:vAlign w:val="center"/>
          </w:tcPr>
          <w:p w14:paraId="3437BEB9">
            <w:pPr>
              <w:spacing w:line="240" w:lineRule="auto"/>
              <w:ind w:left="105" w:leftChars="50" w:right="105" w:rightChars="50"/>
              <w:jc w:val="center"/>
              <w:rPr>
                <w:rFonts w:hint="eastAsia" w:ascii="宋体" w:hAnsi="宋体"/>
                <w:color w:val="auto"/>
                <w:kern w:val="0"/>
                <w:sz w:val="18"/>
                <w:szCs w:val="18"/>
                <w:highlight w:val="none"/>
              </w:rPr>
            </w:pPr>
            <w:r>
              <w:rPr>
                <w:rFonts w:hint="eastAsia" w:ascii="宋体" w:hAnsi="宋体"/>
                <w:color w:val="auto"/>
                <w:kern w:val="0"/>
                <w:sz w:val="18"/>
                <w:szCs w:val="18"/>
                <w:highlight w:val="none"/>
              </w:rPr>
              <w:t>化学药剂</w:t>
            </w:r>
          </w:p>
        </w:tc>
        <w:tc>
          <w:tcPr>
            <w:tcW w:w="3952" w:type="dxa"/>
            <w:tcBorders>
              <w:top w:val="single" w:color="auto" w:sz="4" w:space="0"/>
              <w:bottom w:val="single" w:color="auto" w:sz="8" w:space="0"/>
              <w:right w:val="single" w:color="auto" w:sz="4" w:space="0"/>
            </w:tcBorders>
            <w:shd w:val="clear" w:color="auto" w:fill="auto"/>
            <w:vAlign w:val="center"/>
          </w:tcPr>
          <w:p w14:paraId="6D4918FC">
            <w:pPr>
              <w:spacing w:line="240" w:lineRule="auto"/>
              <w:ind w:left="141" w:leftChars="67" w:right="105" w:rightChars="50"/>
              <w:rPr>
                <w:rFonts w:hint="eastAsia" w:ascii="宋体" w:hAnsi="宋体" w:eastAsia="宋体"/>
                <w:color w:val="auto"/>
                <w:kern w:val="0"/>
                <w:sz w:val="18"/>
                <w:szCs w:val="18"/>
                <w:highlight w:val="none"/>
                <w:lang w:eastAsia="zh-CN"/>
              </w:rPr>
            </w:pPr>
            <w:r>
              <w:rPr>
                <w:rFonts w:hint="eastAsia" w:ascii="宋体" w:hAnsi="宋体"/>
                <w:color w:val="auto"/>
                <w:kern w:val="0"/>
                <w:sz w:val="18"/>
                <w:szCs w:val="18"/>
                <w:highlight w:val="none"/>
              </w:rPr>
              <w:t>6％甲基硫菌灵800～1</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000倍液</w:t>
            </w:r>
            <w:r>
              <w:rPr>
                <w:rFonts w:hint="eastAsia" w:ascii="宋体" w:hAnsi="宋体"/>
                <w:color w:val="auto"/>
                <w:kern w:val="0"/>
                <w:sz w:val="18"/>
                <w:szCs w:val="18"/>
                <w:highlight w:val="none"/>
                <w:lang w:eastAsia="zh-CN"/>
              </w:rPr>
              <w:t>、</w:t>
            </w:r>
            <w:r>
              <w:rPr>
                <w:rFonts w:hint="eastAsia" w:ascii="宋体" w:hAnsi="宋体"/>
                <w:color w:val="auto"/>
                <w:kern w:val="0"/>
                <w:sz w:val="18"/>
                <w:szCs w:val="18"/>
                <w:highlight w:val="none"/>
              </w:rPr>
              <w:t>80％代森锰锌500～800倍液</w:t>
            </w:r>
            <w:r>
              <w:rPr>
                <w:rFonts w:hint="eastAsia" w:ascii="宋体" w:hAnsi="宋体"/>
                <w:color w:val="auto"/>
                <w:kern w:val="0"/>
                <w:sz w:val="18"/>
                <w:szCs w:val="18"/>
                <w:highlight w:val="none"/>
                <w:lang w:eastAsia="zh-CN"/>
              </w:rPr>
              <w:t>、</w:t>
            </w:r>
            <w:r>
              <w:rPr>
                <w:rFonts w:hint="eastAsia" w:ascii="宋体" w:hAnsi="宋体"/>
                <w:color w:val="auto"/>
                <w:kern w:val="0"/>
                <w:sz w:val="18"/>
                <w:szCs w:val="18"/>
                <w:highlight w:val="none"/>
              </w:rPr>
              <w:t>25％吡唑醚菌酯1</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500～2</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500倍液</w:t>
            </w:r>
            <w:r>
              <w:rPr>
                <w:rFonts w:hint="eastAsia" w:ascii="宋体" w:hAnsi="宋体"/>
                <w:color w:val="auto"/>
                <w:kern w:val="0"/>
                <w:sz w:val="18"/>
                <w:szCs w:val="18"/>
                <w:highlight w:val="none"/>
                <w:lang w:val="en-US" w:eastAsia="zh-CN"/>
              </w:rPr>
              <w:t>等</w:t>
            </w:r>
            <w:r>
              <w:rPr>
                <w:rFonts w:hint="eastAsia" w:ascii="宋体" w:hAnsi="宋体" w:cs="宋体"/>
                <w:color w:val="auto"/>
                <w:kern w:val="0"/>
                <w:sz w:val="18"/>
                <w:szCs w:val="18"/>
                <w:highlight w:val="none"/>
              </w:rPr>
              <w:t>。</w:t>
            </w:r>
          </w:p>
        </w:tc>
        <w:tc>
          <w:tcPr>
            <w:tcW w:w="1325" w:type="dxa"/>
            <w:vMerge w:val="continue"/>
            <w:tcBorders>
              <w:left w:val="single" w:color="auto" w:sz="4" w:space="0"/>
              <w:right w:val="single" w:color="auto" w:sz="8" w:space="0"/>
            </w:tcBorders>
            <w:vAlign w:val="center"/>
          </w:tcPr>
          <w:p w14:paraId="55181609">
            <w:pPr>
              <w:spacing w:line="240" w:lineRule="auto"/>
              <w:ind w:left="141" w:leftChars="67" w:right="105" w:rightChars="50"/>
              <w:jc w:val="center"/>
              <w:rPr>
                <w:rFonts w:hint="eastAsia" w:ascii="宋体" w:hAnsi="宋体"/>
                <w:color w:val="auto"/>
                <w:kern w:val="0"/>
                <w:sz w:val="18"/>
                <w:szCs w:val="18"/>
                <w:highlight w:val="none"/>
              </w:rPr>
            </w:pPr>
          </w:p>
        </w:tc>
      </w:tr>
      <w:tr w14:paraId="0E7E0F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4" w:hRule="atLeast"/>
          <w:jc w:val="center"/>
        </w:trPr>
        <w:tc>
          <w:tcPr>
            <w:tcW w:w="766" w:type="dxa"/>
            <w:gridSpan w:val="2"/>
            <w:vMerge w:val="restart"/>
            <w:tcBorders>
              <w:top w:val="single" w:color="auto" w:sz="4" w:space="0"/>
              <w:left w:val="single" w:color="auto" w:sz="8" w:space="0"/>
              <w:right w:val="single" w:color="auto" w:sz="4" w:space="0"/>
            </w:tcBorders>
            <w:shd w:val="clear" w:color="auto" w:fill="auto"/>
            <w:vAlign w:val="center"/>
          </w:tcPr>
          <w:p w14:paraId="4692CE80">
            <w:pPr>
              <w:jc w:val="center"/>
              <w:rPr>
                <w:rFonts w:ascii="宋体" w:hAnsi="宋体"/>
                <w:color w:val="auto"/>
                <w:kern w:val="0"/>
                <w:sz w:val="18"/>
                <w:szCs w:val="18"/>
                <w:highlight w:val="none"/>
              </w:rPr>
            </w:pPr>
            <w:r>
              <w:rPr>
                <w:rFonts w:hint="eastAsia" w:ascii="宋体" w:hAnsi="宋体"/>
                <w:color w:val="auto"/>
                <w:kern w:val="0"/>
                <w:sz w:val="18"/>
                <w:szCs w:val="18"/>
                <w:highlight w:val="none"/>
              </w:rPr>
              <w:t>蓟马</w:t>
            </w:r>
          </w:p>
        </w:tc>
        <w:tc>
          <w:tcPr>
            <w:tcW w:w="2191" w:type="dxa"/>
            <w:vMerge w:val="restart"/>
            <w:tcBorders>
              <w:top w:val="single" w:color="auto" w:sz="4" w:space="0"/>
              <w:left w:val="single" w:color="auto" w:sz="4" w:space="0"/>
              <w:right w:val="single" w:color="auto" w:sz="4" w:space="0"/>
            </w:tcBorders>
            <w:shd w:val="clear" w:color="auto" w:fill="auto"/>
            <w:vAlign w:val="center"/>
          </w:tcPr>
          <w:p w14:paraId="05238881">
            <w:pPr>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萌芽期至幼果期</w:t>
            </w:r>
          </w:p>
        </w:tc>
        <w:tc>
          <w:tcPr>
            <w:tcW w:w="1200" w:type="dxa"/>
            <w:tcBorders>
              <w:top w:val="single" w:color="auto" w:sz="8" w:space="0"/>
              <w:left w:val="single" w:color="auto" w:sz="4" w:space="0"/>
              <w:bottom w:val="single" w:color="auto" w:sz="4" w:space="0"/>
              <w:right w:val="single" w:color="auto" w:sz="4" w:space="0"/>
            </w:tcBorders>
            <w:shd w:val="clear" w:color="auto" w:fill="auto"/>
            <w:vAlign w:val="center"/>
          </w:tcPr>
          <w:p w14:paraId="221ED61F">
            <w:pPr>
              <w:spacing w:line="240" w:lineRule="auto"/>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生物药剂</w:t>
            </w:r>
          </w:p>
        </w:tc>
        <w:tc>
          <w:tcPr>
            <w:tcW w:w="3952" w:type="dxa"/>
            <w:tcBorders>
              <w:top w:val="single" w:color="auto" w:sz="8" w:space="0"/>
              <w:left w:val="single" w:color="auto" w:sz="4" w:space="0"/>
              <w:bottom w:val="single" w:color="auto" w:sz="4" w:space="0"/>
              <w:right w:val="single" w:color="auto" w:sz="4" w:space="0"/>
            </w:tcBorders>
            <w:shd w:val="clear" w:color="auto" w:fill="auto"/>
            <w:vAlign w:val="center"/>
          </w:tcPr>
          <w:p w14:paraId="626ECCD6">
            <w:pPr>
              <w:spacing w:line="240" w:lineRule="auto"/>
              <w:ind w:left="141" w:leftChars="67" w:right="105" w:rightChars="50"/>
              <w:rPr>
                <w:rFonts w:ascii="宋体" w:hAnsi="宋体"/>
                <w:color w:val="auto"/>
                <w:kern w:val="0"/>
                <w:sz w:val="18"/>
                <w:szCs w:val="18"/>
                <w:highlight w:val="none"/>
              </w:rPr>
            </w:pPr>
            <w:r>
              <w:rPr>
                <w:rFonts w:hint="eastAsia" w:ascii="宋体" w:hAnsi="宋体"/>
                <w:color w:val="auto"/>
                <w:kern w:val="0"/>
                <w:sz w:val="18"/>
                <w:szCs w:val="18"/>
                <w:highlight w:val="none"/>
              </w:rPr>
              <w:t>3％多杀霉素1</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000～1</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500倍液、乙基多杀菌素（60</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g/L）1</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000～2</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000倍液</w:t>
            </w:r>
            <w:r>
              <w:rPr>
                <w:rFonts w:hint="eastAsia" w:ascii="宋体" w:hAnsi="宋体"/>
                <w:color w:val="auto"/>
                <w:kern w:val="0"/>
                <w:sz w:val="18"/>
                <w:szCs w:val="18"/>
                <w:highlight w:val="none"/>
                <w:lang w:val="en-US" w:eastAsia="zh-CN"/>
              </w:rPr>
              <w:t>等</w:t>
            </w:r>
            <w:r>
              <w:rPr>
                <w:rFonts w:hint="eastAsia" w:ascii="宋体" w:hAnsi="宋体"/>
                <w:color w:val="auto"/>
                <w:kern w:val="0"/>
                <w:sz w:val="18"/>
                <w:szCs w:val="18"/>
                <w:highlight w:val="none"/>
              </w:rPr>
              <w:t>。</w:t>
            </w:r>
          </w:p>
        </w:tc>
        <w:tc>
          <w:tcPr>
            <w:tcW w:w="1325" w:type="dxa"/>
            <w:vMerge w:val="continue"/>
            <w:tcBorders>
              <w:left w:val="single" w:color="auto" w:sz="4" w:space="0"/>
              <w:right w:val="single" w:color="auto" w:sz="8" w:space="0"/>
            </w:tcBorders>
            <w:vAlign w:val="center"/>
          </w:tcPr>
          <w:p w14:paraId="4939B469">
            <w:pPr>
              <w:spacing w:line="240" w:lineRule="auto"/>
              <w:ind w:left="141" w:leftChars="67" w:right="105" w:rightChars="50"/>
              <w:jc w:val="center"/>
              <w:rPr>
                <w:rFonts w:hint="eastAsia" w:ascii="宋体" w:hAnsi="宋体"/>
                <w:color w:val="auto"/>
                <w:kern w:val="0"/>
                <w:sz w:val="18"/>
                <w:szCs w:val="18"/>
                <w:highlight w:val="none"/>
              </w:rPr>
            </w:pPr>
          </w:p>
        </w:tc>
      </w:tr>
      <w:tr w14:paraId="63E5AD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8" w:hRule="atLeast"/>
          <w:jc w:val="center"/>
        </w:trPr>
        <w:tc>
          <w:tcPr>
            <w:tcW w:w="766" w:type="dxa"/>
            <w:gridSpan w:val="2"/>
            <w:vMerge w:val="continue"/>
            <w:tcBorders>
              <w:left w:val="single" w:color="auto" w:sz="8" w:space="0"/>
              <w:bottom w:val="single" w:color="auto" w:sz="4" w:space="0"/>
              <w:right w:val="single" w:color="auto" w:sz="4" w:space="0"/>
            </w:tcBorders>
            <w:shd w:val="clear" w:color="auto" w:fill="auto"/>
            <w:vAlign w:val="center"/>
          </w:tcPr>
          <w:p w14:paraId="478E8F73">
            <w:pPr>
              <w:jc w:val="center"/>
              <w:rPr>
                <w:rFonts w:ascii="宋体" w:hAnsi="宋体"/>
                <w:color w:val="auto"/>
                <w:kern w:val="0"/>
                <w:sz w:val="18"/>
                <w:szCs w:val="18"/>
                <w:highlight w:val="none"/>
              </w:rPr>
            </w:pPr>
          </w:p>
        </w:tc>
        <w:tc>
          <w:tcPr>
            <w:tcW w:w="2191" w:type="dxa"/>
            <w:vMerge w:val="continue"/>
            <w:tcBorders>
              <w:left w:val="single" w:color="auto" w:sz="4" w:space="0"/>
              <w:bottom w:val="single" w:color="auto" w:sz="4" w:space="0"/>
              <w:right w:val="single" w:color="auto" w:sz="4" w:space="0"/>
            </w:tcBorders>
            <w:shd w:val="clear" w:color="auto" w:fill="auto"/>
            <w:vAlign w:val="center"/>
          </w:tcPr>
          <w:p w14:paraId="6C8BAD96">
            <w:pPr>
              <w:ind w:left="105" w:leftChars="50" w:right="105" w:rightChars="50"/>
              <w:rPr>
                <w:rFonts w:ascii="宋体" w:hAnsi="宋体"/>
                <w:color w:val="auto"/>
                <w:kern w:val="0"/>
                <w:sz w:val="18"/>
                <w:szCs w:val="18"/>
                <w:highlight w:val="none"/>
              </w:rPr>
            </w:pP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373CBB97">
            <w:pPr>
              <w:spacing w:line="240" w:lineRule="auto"/>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化学药剂</w:t>
            </w:r>
          </w:p>
        </w:tc>
        <w:tc>
          <w:tcPr>
            <w:tcW w:w="3952" w:type="dxa"/>
            <w:tcBorders>
              <w:top w:val="single" w:color="auto" w:sz="4" w:space="0"/>
              <w:left w:val="single" w:color="auto" w:sz="4" w:space="0"/>
              <w:bottom w:val="single" w:color="auto" w:sz="4" w:space="0"/>
              <w:right w:val="single" w:color="auto" w:sz="4" w:space="0"/>
            </w:tcBorders>
            <w:shd w:val="clear" w:color="auto" w:fill="auto"/>
            <w:vAlign w:val="center"/>
          </w:tcPr>
          <w:p w14:paraId="650C82D4">
            <w:pPr>
              <w:spacing w:line="240" w:lineRule="auto"/>
              <w:ind w:left="141" w:leftChars="67" w:right="105" w:rightChars="50"/>
              <w:rPr>
                <w:rFonts w:ascii="宋体" w:hAnsi="宋体"/>
                <w:color w:val="auto"/>
                <w:kern w:val="0"/>
                <w:sz w:val="18"/>
                <w:szCs w:val="18"/>
                <w:highlight w:val="none"/>
              </w:rPr>
            </w:pPr>
            <w:r>
              <w:rPr>
                <w:rFonts w:hint="eastAsia" w:ascii="宋体" w:hAnsi="宋体"/>
                <w:color w:val="auto"/>
                <w:kern w:val="0"/>
                <w:sz w:val="18"/>
                <w:szCs w:val="18"/>
                <w:highlight w:val="none"/>
              </w:rPr>
              <w:t>25％噻虫嗪3</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000～4</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000倍液</w:t>
            </w:r>
            <w:r>
              <w:rPr>
                <w:rFonts w:hint="eastAsia" w:ascii="宋体" w:hAnsi="宋体"/>
                <w:color w:val="auto"/>
                <w:kern w:val="0"/>
                <w:sz w:val="18"/>
                <w:szCs w:val="18"/>
                <w:highlight w:val="none"/>
                <w:lang w:val="en-US" w:eastAsia="zh-CN"/>
              </w:rPr>
              <w:t>等</w:t>
            </w:r>
            <w:r>
              <w:rPr>
                <w:rFonts w:hint="eastAsia" w:ascii="宋体" w:hAnsi="宋体"/>
                <w:color w:val="auto"/>
                <w:kern w:val="0"/>
                <w:sz w:val="18"/>
                <w:szCs w:val="18"/>
                <w:highlight w:val="none"/>
              </w:rPr>
              <w:t>。</w:t>
            </w:r>
          </w:p>
        </w:tc>
        <w:tc>
          <w:tcPr>
            <w:tcW w:w="1325" w:type="dxa"/>
            <w:vMerge w:val="continue"/>
            <w:tcBorders>
              <w:left w:val="single" w:color="auto" w:sz="4" w:space="0"/>
              <w:right w:val="single" w:color="auto" w:sz="8" w:space="0"/>
            </w:tcBorders>
            <w:vAlign w:val="center"/>
          </w:tcPr>
          <w:p w14:paraId="3C5325EF">
            <w:pPr>
              <w:spacing w:line="240" w:lineRule="auto"/>
              <w:ind w:left="141" w:leftChars="67" w:right="105" w:rightChars="50"/>
              <w:rPr>
                <w:rFonts w:hint="eastAsia" w:ascii="宋体" w:hAnsi="宋体"/>
                <w:color w:val="auto"/>
                <w:kern w:val="0"/>
                <w:sz w:val="18"/>
                <w:szCs w:val="18"/>
                <w:highlight w:val="none"/>
              </w:rPr>
            </w:pPr>
          </w:p>
        </w:tc>
      </w:tr>
      <w:tr w14:paraId="5D272D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4" w:hRule="atLeast"/>
          <w:jc w:val="center"/>
        </w:trPr>
        <w:tc>
          <w:tcPr>
            <w:tcW w:w="766" w:type="dxa"/>
            <w:gridSpan w:val="2"/>
            <w:vMerge w:val="restart"/>
            <w:tcBorders>
              <w:top w:val="single" w:color="auto" w:sz="4" w:space="0"/>
              <w:left w:val="single" w:color="auto" w:sz="8" w:space="0"/>
              <w:right w:val="single" w:color="auto" w:sz="4" w:space="0"/>
            </w:tcBorders>
            <w:shd w:val="clear" w:color="auto" w:fill="auto"/>
            <w:vAlign w:val="center"/>
          </w:tcPr>
          <w:p w14:paraId="14854509">
            <w:pPr>
              <w:jc w:val="center"/>
              <w:rPr>
                <w:rFonts w:ascii="宋体" w:hAnsi="宋体"/>
                <w:color w:val="auto"/>
                <w:kern w:val="0"/>
                <w:sz w:val="18"/>
                <w:szCs w:val="18"/>
                <w:highlight w:val="none"/>
              </w:rPr>
            </w:pPr>
            <w:r>
              <w:rPr>
                <w:rFonts w:hint="eastAsia" w:ascii="宋体" w:hAnsi="宋体"/>
                <w:color w:val="auto"/>
                <w:kern w:val="0"/>
                <w:sz w:val="18"/>
                <w:szCs w:val="18"/>
                <w:highlight w:val="none"/>
              </w:rPr>
              <w:t>蛾类</w:t>
            </w:r>
          </w:p>
        </w:tc>
        <w:tc>
          <w:tcPr>
            <w:tcW w:w="2191" w:type="dxa"/>
            <w:vMerge w:val="restart"/>
            <w:tcBorders>
              <w:top w:val="single" w:color="auto" w:sz="4" w:space="0"/>
              <w:left w:val="single" w:color="auto" w:sz="4" w:space="0"/>
              <w:right w:val="single" w:color="auto" w:sz="4" w:space="0"/>
            </w:tcBorders>
            <w:shd w:val="clear" w:color="auto" w:fill="auto"/>
            <w:vAlign w:val="center"/>
          </w:tcPr>
          <w:p w14:paraId="67BF5834">
            <w:pPr>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全年</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3CBF0839">
            <w:pPr>
              <w:spacing w:line="240" w:lineRule="auto"/>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生物药剂</w:t>
            </w:r>
          </w:p>
        </w:tc>
        <w:tc>
          <w:tcPr>
            <w:tcW w:w="3952" w:type="dxa"/>
            <w:tcBorders>
              <w:top w:val="single" w:color="auto" w:sz="4" w:space="0"/>
              <w:left w:val="single" w:color="auto" w:sz="4" w:space="0"/>
              <w:bottom w:val="single" w:color="auto" w:sz="4" w:space="0"/>
              <w:right w:val="single" w:color="auto" w:sz="4" w:space="0"/>
            </w:tcBorders>
            <w:shd w:val="clear" w:color="auto" w:fill="auto"/>
            <w:vAlign w:val="center"/>
          </w:tcPr>
          <w:p w14:paraId="7897AB79">
            <w:pPr>
              <w:spacing w:line="240" w:lineRule="auto"/>
              <w:ind w:left="141" w:leftChars="67" w:right="105" w:rightChars="50"/>
              <w:rPr>
                <w:rFonts w:ascii="宋体" w:hAnsi="宋体"/>
                <w:color w:val="auto"/>
                <w:kern w:val="0"/>
                <w:sz w:val="18"/>
                <w:szCs w:val="18"/>
                <w:highlight w:val="none"/>
              </w:rPr>
            </w:pPr>
            <w:r>
              <w:rPr>
                <w:rFonts w:hint="eastAsia" w:ascii="宋体" w:hAnsi="宋体"/>
                <w:color w:val="auto"/>
                <w:kern w:val="0"/>
                <w:sz w:val="18"/>
                <w:szCs w:val="18"/>
                <w:highlight w:val="none"/>
              </w:rPr>
              <w:t>苏云金杆菌（15</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IU/mL）1</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000倍液、乙基多杀菌素（60</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g/L）1</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000～2</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000倍液</w:t>
            </w:r>
            <w:r>
              <w:rPr>
                <w:rFonts w:hint="eastAsia" w:ascii="宋体" w:hAnsi="宋体"/>
                <w:color w:val="auto"/>
                <w:kern w:val="0"/>
                <w:sz w:val="18"/>
                <w:szCs w:val="18"/>
                <w:highlight w:val="none"/>
                <w:lang w:val="en-US" w:eastAsia="zh-CN"/>
              </w:rPr>
              <w:t>等</w:t>
            </w:r>
            <w:r>
              <w:rPr>
                <w:rFonts w:hint="eastAsia" w:ascii="宋体" w:hAnsi="宋体"/>
                <w:color w:val="auto"/>
                <w:kern w:val="0"/>
                <w:sz w:val="18"/>
                <w:szCs w:val="18"/>
                <w:highlight w:val="none"/>
              </w:rPr>
              <w:t>。</w:t>
            </w:r>
          </w:p>
        </w:tc>
        <w:tc>
          <w:tcPr>
            <w:tcW w:w="1325" w:type="dxa"/>
            <w:vMerge w:val="continue"/>
            <w:tcBorders>
              <w:left w:val="single" w:color="auto" w:sz="4" w:space="0"/>
              <w:right w:val="single" w:color="auto" w:sz="8" w:space="0"/>
            </w:tcBorders>
            <w:vAlign w:val="center"/>
          </w:tcPr>
          <w:p w14:paraId="064DD438">
            <w:pPr>
              <w:spacing w:line="240" w:lineRule="auto"/>
              <w:ind w:left="141" w:leftChars="67" w:right="105" w:rightChars="50"/>
              <w:rPr>
                <w:rFonts w:hint="eastAsia" w:ascii="宋体" w:hAnsi="宋体"/>
                <w:color w:val="auto"/>
                <w:kern w:val="0"/>
                <w:sz w:val="18"/>
                <w:szCs w:val="18"/>
                <w:highlight w:val="none"/>
              </w:rPr>
            </w:pPr>
          </w:p>
        </w:tc>
      </w:tr>
      <w:tr w14:paraId="632DC2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766" w:type="dxa"/>
            <w:gridSpan w:val="2"/>
            <w:vMerge w:val="continue"/>
            <w:tcBorders>
              <w:left w:val="single" w:color="auto" w:sz="8" w:space="0"/>
              <w:right w:val="single" w:color="auto" w:sz="4" w:space="0"/>
            </w:tcBorders>
            <w:shd w:val="clear" w:color="auto" w:fill="auto"/>
            <w:vAlign w:val="center"/>
          </w:tcPr>
          <w:p w14:paraId="1E8DDF3D">
            <w:pPr>
              <w:jc w:val="center"/>
              <w:rPr>
                <w:rFonts w:ascii="宋体" w:hAnsi="宋体"/>
                <w:color w:val="auto"/>
                <w:kern w:val="0"/>
                <w:sz w:val="18"/>
                <w:szCs w:val="18"/>
                <w:highlight w:val="none"/>
              </w:rPr>
            </w:pPr>
          </w:p>
        </w:tc>
        <w:tc>
          <w:tcPr>
            <w:tcW w:w="2191" w:type="dxa"/>
            <w:vMerge w:val="continue"/>
            <w:tcBorders>
              <w:left w:val="single" w:color="auto" w:sz="4" w:space="0"/>
              <w:right w:val="single" w:color="auto" w:sz="4" w:space="0"/>
            </w:tcBorders>
            <w:shd w:val="clear" w:color="auto" w:fill="auto"/>
            <w:vAlign w:val="center"/>
          </w:tcPr>
          <w:p w14:paraId="2C801600">
            <w:pPr>
              <w:ind w:left="105" w:leftChars="50" w:right="105" w:rightChars="50"/>
              <w:rPr>
                <w:rFonts w:ascii="宋体" w:hAnsi="宋体"/>
                <w:color w:val="auto"/>
                <w:kern w:val="0"/>
                <w:sz w:val="18"/>
                <w:szCs w:val="18"/>
                <w:highlight w:val="none"/>
              </w:rPr>
            </w:pP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5582E1C9">
            <w:pPr>
              <w:spacing w:line="240" w:lineRule="auto"/>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化学药剂</w:t>
            </w:r>
          </w:p>
        </w:tc>
        <w:tc>
          <w:tcPr>
            <w:tcW w:w="3952" w:type="dxa"/>
            <w:tcBorders>
              <w:top w:val="single" w:color="auto" w:sz="4" w:space="0"/>
              <w:left w:val="single" w:color="auto" w:sz="4" w:space="0"/>
              <w:bottom w:val="single" w:color="auto" w:sz="4" w:space="0"/>
              <w:right w:val="single" w:color="auto" w:sz="4" w:space="0"/>
            </w:tcBorders>
            <w:shd w:val="clear" w:color="auto" w:fill="auto"/>
            <w:vAlign w:val="center"/>
          </w:tcPr>
          <w:p w14:paraId="78A6D7A6">
            <w:pPr>
              <w:spacing w:line="240" w:lineRule="auto"/>
              <w:ind w:left="141" w:leftChars="67" w:right="105" w:rightChars="50"/>
              <w:rPr>
                <w:rFonts w:ascii="宋体" w:hAnsi="宋体"/>
                <w:color w:val="auto"/>
                <w:kern w:val="0"/>
                <w:sz w:val="18"/>
                <w:szCs w:val="18"/>
                <w:highlight w:val="none"/>
              </w:rPr>
            </w:pPr>
            <w:r>
              <w:rPr>
                <w:rFonts w:hint="eastAsia" w:ascii="宋体" w:hAnsi="宋体"/>
                <w:color w:val="auto"/>
                <w:kern w:val="0"/>
                <w:sz w:val="18"/>
                <w:szCs w:val="18"/>
                <w:highlight w:val="none"/>
                <w:lang w:val="en-US" w:eastAsia="zh-CN"/>
              </w:rPr>
              <w:t>5%甲氨基阿维菌素苯甲酸盐3</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w:t>
            </w:r>
            <w:r>
              <w:rPr>
                <w:rFonts w:hint="eastAsia" w:ascii="宋体" w:hAnsi="宋体"/>
                <w:color w:val="auto"/>
                <w:kern w:val="0"/>
                <w:sz w:val="18"/>
                <w:szCs w:val="18"/>
                <w:highlight w:val="none"/>
                <w:lang w:val="en-US" w:eastAsia="zh-CN"/>
              </w:rPr>
              <w:t>4</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vertAlign w:val="baseline"/>
                <w:lang w:val="en-US" w:eastAsia="zh-CN"/>
              </w:rPr>
              <w:t>0</w:t>
            </w:r>
            <w:r>
              <w:rPr>
                <w:rFonts w:hint="eastAsia" w:ascii="宋体" w:hAnsi="宋体"/>
                <w:color w:val="auto"/>
                <w:kern w:val="0"/>
                <w:sz w:val="18"/>
                <w:szCs w:val="18"/>
                <w:highlight w:val="none"/>
              </w:rPr>
              <w:t>00倍液</w:t>
            </w:r>
            <w:r>
              <w:rPr>
                <w:rFonts w:hint="eastAsia" w:ascii="宋体" w:hAnsi="宋体"/>
                <w:color w:val="auto"/>
                <w:kern w:val="0"/>
                <w:sz w:val="18"/>
                <w:szCs w:val="18"/>
                <w:highlight w:val="none"/>
                <w:lang w:val="en-US" w:eastAsia="zh-CN"/>
              </w:rPr>
              <w:t>等</w:t>
            </w:r>
            <w:r>
              <w:rPr>
                <w:rFonts w:hint="eastAsia" w:ascii="宋体" w:hAnsi="宋体"/>
                <w:color w:val="auto"/>
                <w:kern w:val="0"/>
                <w:sz w:val="18"/>
                <w:szCs w:val="18"/>
                <w:highlight w:val="none"/>
              </w:rPr>
              <w:t>。</w:t>
            </w:r>
          </w:p>
        </w:tc>
        <w:tc>
          <w:tcPr>
            <w:tcW w:w="1325" w:type="dxa"/>
            <w:vMerge w:val="continue"/>
            <w:tcBorders>
              <w:left w:val="single" w:color="auto" w:sz="4" w:space="0"/>
              <w:right w:val="single" w:color="auto" w:sz="8" w:space="0"/>
            </w:tcBorders>
            <w:vAlign w:val="center"/>
          </w:tcPr>
          <w:p w14:paraId="06617481">
            <w:pPr>
              <w:spacing w:line="240" w:lineRule="auto"/>
              <w:ind w:left="141" w:leftChars="67" w:right="105" w:rightChars="50"/>
              <w:rPr>
                <w:rFonts w:hint="eastAsia" w:ascii="宋体" w:hAnsi="宋体"/>
                <w:color w:val="auto"/>
                <w:kern w:val="0"/>
                <w:sz w:val="18"/>
                <w:szCs w:val="18"/>
                <w:highlight w:val="none"/>
              </w:rPr>
            </w:pPr>
          </w:p>
        </w:tc>
      </w:tr>
      <w:tr w14:paraId="3EADFC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766" w:type="dxa"/>
            <w:gridSpan w:val="2"/>
            <w:vMerge w:val="restart"/>
            <w:tcBorders>
              <w:left w:val="single" w:color="auto" w:sz="8" w:space="0"/>
              <w:right w:val="single" w:color="auto" w:sz="4" w:space="0"/>
            </w:tcBorders>
            <w:shd w:val="clear" w:color="auto" w:fill="auto"/>
            <w:vAlign w:val="center"/>
          </w:tcPr>
          <w:p w14:paraId="26101C3C">
            <w:pPr>
              <w:jc w:val="center"/>
              <w:rPr>
                <w:rFonts w:ascii="宋体" w:hAnsi="宋体"/>
                <w:color w:val="auto"/>
                <w:kern w:val="0"/>
                <w:sz w:val="18"/>
                <w:szCs w:val="18"/>
                <w:highlight w:val="none"/>
              </w:rPr>
            </w:pPr>
            <w:r>
              <w:rPr>
                <w:rFonts w:hint="eastAsia" w:ascii="宋体" w:hAnsi="宋体"/>
                <w:color w:val="auto"/>
                <w:kern w:val="0"/>
                <w:sz w:val="18"/>
                <w:szCs w:val="18"/>
                <w:highlight w:val="none"/>
              </w:rPr>
              <w:t>金龟子</w:t>
            </w:r>
          </w:p>
        </w:tc>
        <w:tc>
          <w:tcPr>
            <w:tcW w:w="2191" w:type="dxa"/>
            <w:vMerge w:val="restart"/>
            <w:tcBorders>
              <w:left w:val="single" w:color="auto" w:sz="4" w:space="0"/>
              <w:right w:val="single" w:color="auto" w:sz="4" w:space="0"/>
            </w:tcBorders>
            <w:shd w:val="clear" w:color="auto" w:fill="auto"/>
            <w:vAlign w:val="center"/>
          </w:tcPr>
          <w:p w14:paraId="3D11B2BA">
            <w:pPr>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全年</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7E5536E8">
            <w:pPr>
              <w:spacing w:line="240" w:lineRule="auto"/>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生物药剂</w:t>
            </w:r>
          </w:p>
        </w:tc>
        <w:tc>
          <w:tcPr>
            <w:tcW w:w="3952" w:type="dxa"/>
            <w:tcBorders>
              <w:top w:val="single" w:color="auto" w:sz="4" w:space="0"/>
              <w:left w:val="single" w:color="auto" w:sz="4" w:space="0"/>
              <w:bottom w:val="single" w:color="auto" w:sz="4" w:space="0"/>
              <w:right w:val="single" w:color="auto" w:sz="4" w:space="0"/>
            </w:tcBorders>
            <w:shd w:val="clear" w:color="auto" w:fill="auto"/>
            <w:vAlign w:val="center"/>
          </w:tcPr>
          <w:p w14:paraId="5919C97C">
            <w:pPr>
              <w:spacing w:line="240" w:lineRule="auto"/>
              <w:ind w:left="141" w:leftChars="67" w:right="105" w:rightChars="50"/>
              <w:rPr>
                <w:rFonts w:ascii="宋体" w:hAnsi="宋体"/>
                <w:color w:val="auto"/>
                <w:kern w:val="0"/>
                <w:sz w:val="18"/>
                <w:szCs w:val="18"/>
                <w:highlight w:val="none"/>
              </w:rPr>
            </w:pPr>
            <w:r>
              <w:rPr>
                <w:rFonts w:hint="eastAsia" w:ascii="宋体" w:hAnsi="宋体"/>
                <w:color w:val="auto"/>
                <w:kern w:val="0"/>
                <w:sz w:val="18"/>
                <w:szCs w:val="18"/>
                <w:highlight w:val="none"/>
              </w:rPr>
              <w:t>1.3％苦参碱2</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000倍液</w:t>
            </w:r>
            <w:r>
              <w:rPr>
                <w:rFonts w:hint="eastAsia" w:ascii="宋体" w:hAnsi="宋体"/>
                <w:color w:val="auto"/>
                <w:kern w:val="0"/>
                <w:sz w:val="18"/>
                <w:szCs w:val="18"/>
                <w:highlight w:val="none"/>
                <w:lang w:val="en-US" w:eastAsia="zh-CN"/>
              </w:rPr>
              <w:t>等</w:t>
            </w:r>
            <w:r>
              <w:rPr>
                <w:rFonts w:hint="eastAsia" w:ascii="宋体" w:hAnsi="宋体"/>
                <w:color w:val="auto"/>
                <w:kern w:val="0"/>
                <w:sz w:val="18"/>
                <w:szCs w:val="18"/>
                <w:highlight w:val="none"/>
              </w:rPr>
              <w:t>。</w:t>
            </w:r>
          </w:p>
        </w:tc>
        <w:tc>
          <w:tcPr>
            <w:tcW w:w="1325" w:type="dxa"/>
            <w:vMerge w:val="continue"/>
            <w:tcBorders>
              <w:left w:val="single" w:color="auto" w:sz="4" w:space="0"/>
              <w:right w:val="single" w:color="auto" w:sz="8" w:space="0"/>
            </w:tcBorders>
            <w:vAlign w:val="center"/>
          </w:tcPr>
          <w:p w14:paraId="4FB5F39B">
            <w:pPr>
              <w:spacing w:line="240" w:lineRule="auto"/>
              <w:ind w:left="141" w:leftChars="67" w:right="105" w:rightChars="50"/>
              <w:rPr>
                <w:rFonts w:hint="eastAsia" w:ascii="宋体" w:hAnsi="宋体"/>
                <w:color w:val="auto"/>
                <w:kern w:val="0"/>
                <w:sz w:val="18"/>
                <w:szCs w:val="18"/>
                <w:highlight w:val="none"/>
              </w:rPr>
            </w:pPr>
          </w:p>
        </w:tc>
      </w:tr>
      <w:tr w14:paraId="5EE8E0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1" w:hRule="atLeast"/>
          <w:jc w:val="center"/>
        </w:trPr>
        <w:tc>
          <w:tcPr>
            <w:tcW w:w="766" w:type="dxa"/>
            <w:gridSpan w:val="2"/>
            <w:vMerge w:val="continue"/>
            <w:tcBorders>
              <w:left w:val="single" w:color="auto" w:sz="8" w:space="0"/>
              <w:bottom w:val="single" w:color="auto" w:sz="4" w:space="0"/>
              <w:right w:val="single" w:color="auto" w:sz="4" w:space="0"/>
            </w:tcBorders>
            <w:shd w:val="clear" w:color="auto" w:fill="auto"/>
            <w:vAlign w:val="center"/>
          </w:tcPr>
          <w:p w14:paraId="28B0A814">
            <w:pPr>
              <w:jc w:val="center"/>
              <w:rPr>
                <w:rFonts w:ascii="宋体" w:hAnsi="宋体"/>
                <w:color w:val="auto"/>
                <w:kern w:val="0"/>
                <w:sz w:val="18"/>
                <w:szCs w:val="18"/>
                <w:highlight w:val="none"/>
              </w:rPr>
            </w:pPr>
          </w:p>
        </w:tc>
        <w:tc>
          <w:tcPr>
            <w:tcW w:w="2191" w:type="dxa"/>
            <w:vMerge w:val="continue"/>
            <w:tcBorders>
              <w:left w:val="single" w:color="auto" w:sz="4" w:space="0"/>
              <w:bottom w:val="single" w:color="auto" w:sz="4" w:space="0"/>
              <w:right w:val="single" w:color="auto" w:sz="4" w:space="0"/>
            </w:tcBorders>
            <w:shd w:val="clear" w:color="auto" w:fill="auto"/>
            <w:vAlign w:val="center"/>
          </w:tcPr>
          <w:p w14:paraId="054009DD">
            <w:pPr>
              <w:ind w:left="105" w:leftChars="50" w:right="105" w:rightChars="50"/>
              <w:jc w:val="center"/>
              <w:rPr>
                <w:rFonts w:ascii="宋体" w:hAnsi="宋体"/>
                <w:color w:val="auto"/>
                <w:kern w:val="0"/>
                <w:sz w:val="18"/>
                <w:szCs w:val="18"/>
                <w:highlight w:val="none"/>
              </w:rPr>
            </w:pP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45B7605D">
            <w:pPr>
              <w:spacing w:line="240" w:lineRule="auto"/>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化学药剂</w:t>
            </w:r>
          </w:p>
        </w:tc>
        <w:tc>
          <w:tcPr>
            <w:tcW w:w="3952" w:type="dxa"/>
            <w:tcBorders>
              <w:top w:val="single" w:color="auto" w:sz="4" w:space="0"/>
              <w:left w:val="single" w:color="auto" w:sz="4" w:space="0"/>
              <w:bottom w:val="single" w:color="auto" w:sz="4" w:space="0"/>
              <w:right w:val="single" w:color="auto" w:sz="4" w:space="0"/>
            </w:tcBorders>
            <w:shd w:val="clear" w:color="auto" w:fill="auto"/>
            <w:vAlign w:val="center"/>
          </w:tcPr>
          <w:p w14:paraId="44D169E5">
            <w:pPr>
              <w:spacing w:line="240" w:lineRule="auto"/>
              <w:ind w:left="141" w:leftChars="67" w:right="105" w:rightChars="50"/>
              <w:rPr>
                <w:rFonts w:ascii="宋体" w:hAnsi="宋体"/>
                <w:color w:val="auto"/>
                <w:kern w:val="0"/>
                <w:sz w:val="18"/>
                <w:szCs w:val="18"/>
                <w:highlight w:val="none"/>
              </w:rPr>
            </w:pPr>
            <w:r>
              <w:rPr>
                <w:rFonts w:hint="eastAsia" w:ascii="宋体" w:hAnsi="宋体"/>
                <w:color w:val="auto"/>
                <w:kern w:val="0"/>
                <w:sz w:val="18"/>
                <w:szCs w:val="18"/>
                <w:highlight w:val="none"/>
              </w:rPr>
              <w:t>25％噻虫嗪3</w:t>
            </w:r>
            <w:r>
              <w:rPr>
                <w:rFonts w:ascii="宋体" w:hAnsi="宋体"/>
                <w:color w:val="auto"/>
                <w:kern w:val="0"/>
                <w:sz w:val="18"/>
                <w:szCs w:val="18"/>
                <w:highlight w:val="none"/>
                <w:vertAlign w:val="superscript"/>
              </w:rPr>
              <w:t xml:space="preserve"> </w:t>
            </w:r>
            <w:r>
              <w:rPr>
                <w:rFonts w:ascii="宋体" w:hAnsi="宋体"/>
                <w:color w:val="auto"/>
                <w:kern w:val="0"/>
                <w:sz w:val="18"/>
                <w:szCs w:val="18"/>
                <w:highlight w:val="none"/>
              </w:rPr>
              <w:t>000</w:t>
            </w:r>
            <w:r>
              <w:rPr>
                <w:rFonts w:hint="eastAsia" w:ascii="宋体" w:hAnsi="宋体"/>
                <w:color w:val="auto"/>
                <w:kern w:val="0"/>
                <w:sz w:val="18"/>
                <w:szCs w:val="18"/>
                <w:highlight w:val="none"/>
              </w:rPr>
              <w:t>～</w:t>
            </w:r>
            <w:r>
              <w:rPr>
                <w:rFonts w:hint="eastAsia" w:ascii="宋体" w:hAnsi="宋体"/>
                <w:color w:val="auto"/>
                <w:kern w:val="0"/>
                <w:sz w:val="18"/>
                <w:szCs w:val="18"/>
                <w:highlight w:val="none"/>
                <w:lang w:val="en-US" w:eastAsia="zh-CN"/>
              </w:rPr>
              <w:t>4</w:t>
            </w:r>
            <w:r>
              <w:rPr>
                <w:rFonts w:ascii="宋体" w:hAnsi="宋体"/>
                <w:color w:val="auto"/>
                <w:kern w:val="0"/>
                <w:sz w:val="18"/>
                <w:szCs w:val="18"/>
                <w:highlight w:val="none"/>
                <w:vertAlign w:val="superscript"/>
              </w:rPr>
              <w:t xml:space="preserve"> </w:t>
            </w:r>
            <w:r>
              <w:rPr>
                <w:rFonts w:ascii="宋体" w:hAnsi="宋体"/>
                <w:color w:val="auto"/>
                <w:kern w:val="0"/>
                <w:sz w:val="18"/>
                <w:szCs w:val="18"/>
                <w:highlight w:val="none"/>
              </w:rPr>
              <w:t>000</w:t>
            </w:r>
            <w:r>
              <w:rPr>
                <w:rFonts w:hint="eastAsia" w:ascii="宋体" w:hAnsi="宋体"/>
                <w:color w:val="auto"/>
                <w:kern w:val="0"/>
                <w:sz w:val="18"/>
                <w:szCs w:val="18"/>
                <w:highlight w:val="none"/>
              </w:rPr>
              <w:t>倍液、40％辛硫磷1</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000～2</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000倍液</w:t>
            </w:r>
            <w:r>
              <w:rPr>
                <w:rFonts w:hint="eastAsia" w:ascii="宋体" w:hAnsi="宋体"/>
                <w:color w:val="auto"/>
                <w:kern w:val="0"/>
                <w:sz w:val="18"/>
                <w:szCs w:val="18"/>
                <w:highlight w:val="none"/>
                <w:lang w:val="en-US" w:eastAsia="zh-CN"/>
              </w:rPr>
              <w:t>等</w:t>
            </w:r>
            <w:r>
              <w:rPr>
                <w:rFonts w:hint="eastAsia" w:ascii="宋体" w:hAnsi="宋体"/>
                <w:color w:val="auto"/>
                <w:kern w:val="0"/>
                <w:sz w:val="18"/>
                <w:szCs w:val="18"/>
                <w:highlight w:val="none"/>
              </w:rPr>
              <w:t>。</w:t>
            </w:r>
          </w:p>
        </w:tc>
        <w:tc>
          <w:tcPr>
            <w:tcW w:w="1325" w:type="dxa"/>
            <w:vMerge w:val="continue"/>
            <w:tcBorders>
              <w:left w:val="single" w:color="auto" w:sz="4" w:space="0"/>
              <w:right w:val="single" w:color="auto" w:sz="8" w:space="0"/>
            </w:tcBorders>
            <w:vAlign w:val="center"/>
          </w:tcPr>
          <w:p w14:paraId="643D7715">
            <w:pPr>
              <w:spacing w:line="240" w:lineRule="auto"/>
              <w:ind w:left="141" w:leftChars="67" w:right="105" w:rightChars="50"/>
              <w:rPr>
                <w:rFonts w:hint="eastAsia" w:ascii="宋体" w:hAnsi="宋体"/>
                <w:color w:val="auto"/>
                <w:kern w:val="0"/>
                <w:sz w:val="18"/>
                <w:szCs w:val="18"/>
                <w:highlight w:val="none"/>
              </w:rPr>
            </w:pPr>
          </w:p>
        </w:tc>
      </w:tr>
      <w:tr w14:paraId="7F5D2B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766" w:type="dxa"/>
            <w:gridSpan w:val="2"/>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4AE81EFA">
            <w:pPr>
              <w:jc w:val="center"/>
              <w:rPr>
                <w:rFonts w:ascii="宋体" w:hAnsi="宋体"/>
                <w:color w:val="auto"/>
                <w:kern w:val="0"/>
                <w:sz w:val="18"/>
                <w:szCs w:val="18"/>
                <w:highlight w:val="none"/>
              </w:rPr>
            </w:pPr>
            <w:r>
              <w:rPr>
                <w:rFonts w:hint="eastAsia" w:ascii="宋体" w:hAnsi="宋体"/>
                <w:color w:val="auto"/>
                <w:kern w:val="0"/>
                <w:sz w:val="18"/>
                <w:szCs w:val="18"/>
                <w:highlight w:val="none"/>
              </w:rPr>
              <w:t>叶蝉</w:t>
            </w:r>
          </w:p>
        </w:tc>
        <w:tc>
          <w:tcPr>
            <w:tcW w:w="21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B7FF9C">
            <w:pPr>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6～10月</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672573A9">
            <w:pPr>
              <w:spacing w:line="240" w:lineRule="auto"/>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生物药剂</w:t>
            </w:r>
          </w:p>
        </w:tc>
        <w:tc>
          <w:tcPr>
            <w:tcW w:w="3952" w:type="dxa"/>
            <w:tcBorders>
              <w:top w:val="single" w:color="auto" w:sz="4" w:space="0"/>
              <w:left w:val="single" w:color="auto" w:sz="4" w:space="0"/>
              <w:bottom w:val="single" w:color="auto" w:sz="4" w:space="0"/>
              <w:right w:val="single" w:color="auto" w:sz="4" w:space="0"/>
            </w:tcBorders>
            <w:shd w:val="clear" w:color="auto" w:fill="auto"/>
            <w:vAlign w:val="center"/>
          </w:tcPr>
          <w:p w14:paraId="792DC987">
            <w:pPr>
              <w:spacing w:line="240" w:lineRule="auto"/>
              <w:ind w:left="141" w:leftChars="67" w:right="105" w:rightChars="50"/>
              <w:rPr>
                <w:rFonts w:ascii="宋体" w:hAnsi="宋体"/>
                <w:color w:val="auto"/>
                <w:kern w:val="0"/>
                <w:sz w:val="18"/>
                <w:szCs w:val="18"/>
                <w:highlight w:val="none"/>
              </w:rPr>
            </w:pPr>
            <w:r>
              <w:rPr>
                <w:rFonts w:hint="eastAsia" w:ascii="宋体" w:hAnsi="宋体"/>
                <w:color w:val="auto"/>
                <w:kern w:val="0"/>
                <w:sz w:val="18"/>
                <w:szCs w:val="18"/>
                <w:highlight w:val="none"/>
              </w:rPr>
              <w:t>0.5％藜芦碱600～800倍液、1.3％苦参碱2</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000倍液。</w:t>
            </w:r>
          </w:p>
        </w:tc>
        <w:tc>
          <w:tcPr>
            <w:tcW w:w="1325" w:type="dxa"/>
            <w:vMerge w:val="continue"/>
            <w:tcBorders>
              <w:left w:val="single" w:color="auto" w:sz="4" w:space="0"/>
              <w:right w:val="single" w:color="auto" w:sz="8" w:space="0"/>
            </w:tcBorders>
            <w:vAlign w:val="center"/>
          </w:tcPr>
          <w:p w14:paraId="70153725">
            <w:pPr>
              <w:spacing w:line="240" w:lineRule="auto"/>
              <w:ind w:left="141" w:leftChars="67" w:right="105" w:rightChars="50"/>
              <w:rPr>
                <w:rFonts w:hint="eastAsia" w:ascii="宋体" w:hAnsi="宋体"/>
                <w:color w:val="auto"/>
                <w:kern w:val="0"/>
                <w:sz w:val="18"/>
                <w:szCs w:val="18"/>
                <w:highlight w:val="none"/>
              </w:rPr>
            </w:pPr>
          </w:p>
        </w:tc>
      </w:tr>
      <w:tr w14:paraId="3600DC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37" w:hRule="atLeast"/>
          <w:jc w:val="center"/>
        </w:trPr>
        <w:tc>
          <w:tcPr>
            <w:tcW w:w="766" w:type="dxa"/>
            <w:gridSpan w:val="2"/>
            <w:vMerge w:val="continue"/>
            <w:tcBorders>
              <w:top w:val="single" w:color="auto" w:sz="4" w:space="0"/>
              <w:left w:val="single" w:color="auto" w:sz="8" w:space="0"/>
              <w:bottom w:val="single" w:color="auto" w:sz="8" w:space="0"/>
              <w:right w:val="single" w:color="auto" w:sz="4" w:space="0"/>
            </w:tcBorders>
            <w:shd w:val="clear" w:color="auto" w:fill="auto"/>
            <w:vAlign w:val="center"/>
          </w:tcPr>
          <w:p w14:paraId="11D0DC74">
            <w:pPr>
              <w:jc w:val="center"/>
              <w:rPr>
                <w:rFonts w:ascii="宋体" w:hAnsi="宋体"/>
                <w:color w:val="auto"/>
                <w:kern w:val="0"/>
                <w:sz w:val="18"/>
                <w:szCs w:val="18"/>
                <w:highlight w:val="none"/>
              </w:rPr>
            </w:pPr>
          </w:p>
        </w:tc>
        <w:tc>
          <w:tcPr>
            <w:tcW w:w="2191" w:type="dxa"/>
            <w:vMerge w:val="continue"/>
            <w:tcBorders>
              <w:top w:val="single" w:color="auto" w:sz="4" w:space="0"/>
              <w:left w:val="single" w:color="auto" w:sz="4" w:space="0"/>
              <w:bottom w:val="single" w:color="auto" w:sz="8" w:space="0"/>
              <w:right w:val="single" w:color="auto" w:sz="4" w:space="0"/>
            </w:tcBorders>
            <w:shd w:val="clear" w:color="auto" w:fill="auto"/>
            <w:vAlign w:val="center"/>
          </w:tcPr>
          <w:p w14:paraId="05A2B6CC">
            <w:pPr>
              <w:ind w:left="105" w:leftChars="50" w:right="105" w:rightChars="50"/>
              <w:rPr>
                <w:rFonts w:ascii="宋体" w:hAnsi="宋体"/>
                <w:color w:val="auto"/>
                <w:kern w:val="0"/>
                <w:sz w:val="18"/>
                <w:szCs w:val="18"/>
                <w:highlight w:val="none"/>
              </w:rPr>
            </w:pPr>
          </w:p>
        </w:tc>
        <w:tc>
          <w:tcPr>
            <w:tcW w:w="1200" w:type="dxa"/>
            <w:tcBorders>
              <w:top w:val="single" w:color="auto" w:sz="4" w:space="0"/>
              <w:left w:val="single" w:color="auto" w:sz="4" w:space="0"/>
              <w:bottom w:val="single" w:color="auto" w:sz="8" w:space="0"/>
              <w:right w:val="single" w:color="auto" w:sz="4" w:space="0"/>
            </w:tcBorders>
            <w:shd w:val="clear" w:color="auto" w:fill="auto"/>
            <w:vAlign w:val="center"/>
          </w:tcPr>
          <w:p w14:paraId="414E38D4">
            <w:pPr>
              <w:spacing w:line="240" w:lineRule="auto"/>
              <w:ind w:left="105" w:leftChars="50" w:right="105" w:rightChars="50"/>
              <w:jc w:val="center"/>
              <w:rPr>
                <w:rFonts w:ascii="宋体" w:hAnsi="宋体"/>
                <w:color w:val="auto"/>
                <w:kern w:val="0"/>
                <w:sz w:val="18"/>
                <w:szCs w:val="18"/>
                <w:highlight w:val="none"/>
              </w:rPr>
            </w:pPr>
            <w:r>
              <w:rPr>
                <w:rFonts w:hint="eastAsia" w:ascii="宋体" w:hAnsi="宋体"/>
                <w:color w:val="auto"/>
                <w:kern w:val="0"/>
                <w:sz w:val="18"/>
                <w:szCs w:val="18"/>
                <w:highlight w:val="none"/>
              </w:rPr>
              <w:t>化学药剂</w:t>
            </w:r>
          </w:p>
        </w:tc>
        <w:tc>
          <w:tcPr>
            <w:tcW w:w="3952" w:type="dxa"/>
            <w:tcBorders>
              <w:top w:val="single" w:color="auto" w:sz="4" w:space="0"/>
              <w:left w:val="single" w:color="auto" w:sz="4" w:space="0"/>
              <w:bottom w:val="single" w:color="auto" w:sz="8" w:space="0"/>
              <w:right w:val="single" w:color="auto" w:sz="4" w:space="0"/>
            </w:tcBorders>
            <w:shd w:val="clear" w:color="auto" w:fill="auto"/>
            <w:vAlign w:val="center"/>
          </w:tcPr>
          <w:p w14:paraId="38B269BA">
            <w:pPr>
              <w:spacing w:line="240" w:lineRule="auto"/>
              <w:ind w:left="141" w:leftChars="67" w:right="105" w:rightChars="50"/>
              <w:rPr>
                <w:rFonts w:ascii="宋体" w:hAnsi="宋体"/>
                <w:color w:val="auto"/>
                <w:kern w:val="0"/>
                <w:sz w:val="18"/>
                <w:szCs w:val="18"/>
                <w:highlight w:val="none"/>
              </w:rPr>
            </w:pPr>
            <w:r>
              <w:rPr>
                <w:rFonts w:hint="eastAsia" w:ascii="宋体" w:hAnsi="宋体"/>
                <w:color w:val="auto"/>
                <w:kern w:val="0"/>
                <w:sz w:val="18"/>
                <w:szCs w:val="18"/>
                <w:highlight w:val="none"/>
              </w:rPr>
              <w:t>25％噻虫嗪3</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000～4</w:t>
            </w:r>
            <w:r>
              <w:rPr>
                <w:rFonts w:hint="eastAsia" w:ascii="宋体" w:hAnsi="宋体"/>
                <w:color w:val="auto"/>
                <w:kern w:val="0"/>
                <w:sz w:val="18"/>
                <w:szCs w:val="18"/>
                <w:highlight w:val="none"/>
                <w:vertAlign w:val="superscript"/>
              </w:rPr>
              <w:t xml:space="preserve"> </w:t>
            </w:r>
            <w:r>
              <w:rPr>
                <w:rFonts w:hint="eastAsia" w:ascii="宋体" w:hAnsi="宋体"/>
                <w:color w:val="auto"/>
                <w:kern w:val="0"/>
                <w:sz w:val="18"/>
                <w:szCs w:val="18"/>
                <w:highlight w:val="none"/>
              </w:rPr>
              <w:t>000倍液</w:t>
            </w:r>
            <w:r>
              <w:rPr>
                <w:rFonts w:hint="eastAsia" w:ascii="宋体" w:hAnsi="宋体"/>
                <w:color w:val="auto"/>
                <w:kern w:val="0"/>
                <w:sz w:val="18"/>
                <w:szCs w:val="18"/>
                <w:highlight w:val="none"/>
                <w:lang w:val="en-US" w:eastAsia="zh-CN"/>
              </w:rPr>
              <w:t>等</w:t>
            </w:r>
            <w:r>
              <w:rPr>
                <w:rFonts w:hint="eastAsia" w:ascii="宋体" w:hAnsi="宋体"/>
                <w:color w:val="auto"/>
                <w:kern w:val="0"/>
                <w:sz w:val="18"/>
                <w:szCs w:val="18"/>
                <w:highlight w:val="none"/>
              </w:rPr>
              <w:t>。</w:t>
            </w:r>
          </w:p>
        </w:tc>
        <w:tc>
          <w:tcPr>
            <w:tcW w:w="1325" w:type="dxa"/>
            <w:vMerge w:val="continue"/>
            <w:tcBorders>
              <w:left w:val="single" w:color="auto" w:sz="4" w:space="0"/>
              <w:bottom w:val="single" w:color="auto" w:sz="8" w:space="0"/>
              <w:right w:val="single" w:color="auto" w:sz="8" w:space="0"/>
            </w:tcBorders>
            <w:vAlign w:val="center"/>
          </w:tcPr>
          <w:p w14:paraId="5D8AD505">
            <w:pPr>
              <w:spacing w:line="240" w:lineRule="auto"/>
              <w:ind w:left="141" w:leftChars="67" w:right="105" w:rightChars="50"/>
              <w:rPr>
                <w:rFonts w:hint="eastAsia" w:ascii="宋体" w:hAnsi="宋体"/>
                <w:color w:val="auto"/>
                <w:kern w:val="0"/>
                <w:sz w:val="18"/>
                <w:szCs w:val="18"/>
                <w:highlight w:val="none"/>
              </w:rPr>
            </w:pPr>
          </w:p>
        </w:tc>
      </w:tr>
    </w:tbl>
    <w:p w14:paraId="3C6BE1CE">
      <w:pPr>
        <w:pStyle w:val="56"/>
        <w:ind w:firstLine="0" w:firstLineChars="0"/>
        <w:jc w:val="center"/>
        <w:rPr>
          <w:rFonts w:hint="eastAsia" w:eastAsia="宋体"/>
          <w:b/>
          <w:bCs/>
          <w:color w:val="auto"/>
          <w:highlight w:val="none"/>
          <w:lang w:val="en-US" w:eastAsia="zh-CN"/>
        </w:rPr>
      </w:pPr>
      <w:r>
        <w:rPr>
          <w:rFonts w:hint="eastAsia"/>
          <w:b/>
          <w:bCs/>
          <w:color w:val="auto"/>
          <w:highlight w:val="none"/>
        </w:rPr>
        <w:t xml:space="preserve">附 录 </w:t>
      </w:r>
      <w:r>
        <w:rPr>
          <w:rFonts w:hint="eastAsia"/>
          <w:b/>
          <w:bCs/>
          <w:color w:val="auto"/>
          <w:highlight w:val="none"/>
          <w:lang w:val="en-US" w:eastAsia="zh-CN"/>
        </w:rPr>
        <w:t>C</w:t>
      </w:r>
    </w:p>
    <w:p w14:paraId="329F6127">
      <w:pPr>
        <w:pStyle w:val="56"/>
        <w:ind w:firstLine="0" w:firstLineChars="0"/>
        <w:jc w:val="center"/>
        <w:rPr>
          <w:rFonts w:hint="eastAsia"/>
          <w:b/>
          <w:bCs/>
          <w:color w:val="auto"/>
          <w:highlight w:val="none"/>
        </w:rPr>
      </w:pPr>
      <w:r>
        <w:rPr>
          <w:rFonts w:hint="eastAsia"/>
          <w:b/>
          <w:bCs/>
          <w:color w:val="auto"/>
          <w:highlight w:val="none"/>
        </w:rPr>
        <w:t>(</w:t>
      </w:r>
      <w:r>
        <w:rPr>
          <w:rFonts w:hint="eastAsia"/>
          <w:b/>
          <w:bCs/>
          <w:color w:val="auto"/>
          <w:highlight w:val="none"/>
          <w:lang w:eastAsia="zh-CN"/>
        </w:rPr>
        <w:t>规范性</w:t>
      </w:r>
      <w:r>
        <w:rPr>
          <w:rFonts w:hint="eastAsia"/>
          <w:b/>
          <w:bCs/>
          <w:color w:val="auto"/>
          <w:highlight w:val="none"/>
        </w:rPr>
        <w:t>)</w:t>
      </w:r>
    </w:p>
    <w:p w14:paraId="2C50639E">
      <w:pPr>
        <w:pStyle w:val="56"/>
        <w:ind w:firstLine="0" w:firstLineChars="0"/>
        <w:jc w:val="center"/>
        <w:rPr>
          <w:rFonts w:hint="eastAsia"/>
          <w:b/>
          <w:bCs/>
          <w:color w:val="auto"/>
          <w:highlight w:val="none"/>
          <w:lang w:eastAsia="zh-CN"/>
        </w:rPr>
      </w:pPr>
      <w:r>
        <w:rPr>
          <w:rFonts w:hint="eastAsia"/>
          <w:b/>
          <w:bCs/>
          <w:color w:val="auto"/>
          <w:highlight w:val="none"/>
          <w:lang w:eastAsia="zh-CN"/>
        </w:rPr>
        <w:t>园地农事防控记录表</w:t>
      </w:r>
    </w:p>
    <w:p w14:paraId="291DFD3D">
      <w:pPr>
        <w:pStyle w:val="56"/>
        <w:ind w:firstLine="0" w:firstLineChars="0"/>
        <w:jc w:val="center"/>
        <w:rPr>
          <w:rFonts w:hint="eastAsia"/>
          <w:color w:val="auto"/>
          <w:highlight w:val="none"/>
        </w:rPr>
      </w:pPr>
    </w:p>
    <w:p w14:paraId="5B8D177F">
      <w:pPr>
        <w:pStyle w:val="56"/>
        <w:ind w:firstLine="420"/>
        <w:jc w:val="left"/>
        <w:rPr>
          <w:color w:val="auto"/>
          <w:highlight w:val="none"/>
        </w:rPr>
      </w:pPr>
      <w:r>
        <w:rPr>
          <w:rFonts w:hint="eastAsia"/>
          <w:color w:val="auto"/>
          <w:highlight w:val="none"/>
        </w:rPr>
        <w:t>见表</w:t>
      </w:r>
      <w:r>
        <w:rPr>
          <w:rFonts w:hint="eastAsia"/>
          <w:color w:val="auto"/>
          <w:highlight w:val="none"/>
          <w:lang w:val="en-US" w:eastAsia="zh-CN"/>
        </w:rPr>
        <w:t>C</w:t>
      </w:r>
      <w:r>
        <w:rPr>
          <w:rFonts w:hint="eastAsia"/>
          <w:color w:val="auto"/>
          <w:highlight w:val="none"/>
        </w:rPr>
        <w:t>.1。</w:t>
      </w:r>
    </w:p>
    <w:p w14:paraId="5473DB9B">
      <w:pPr>
        <w:pStyle w:val="56"/>
        <w:ind w:firstLine="0" w:firstLineChars="0"/>
        <w:jc w:val="center"/>
        <w:rPr>
          <w:rFonts w:hint="eastAsia"/>
          <w:b/>
          <w:bCs/>
          <w:color w:val="auto"/>
          <w:highlight w:val="none"/>
          <w:lang w:eastAsia="zh-CN"/>
        </w:rPr>
      </w:pPr>
      <w:r>
        <w:rPr>
          <w:rFonts w:hint="eastAsia"/>
          <w:b/>
          <w:bCs/>
          <w:color w:val="auto"/>
          <w:highlight w:val="none"/>
        </w:rPr>
        <w:t>表</w:t>
      </w:r>
      <w:r>
        <w:rPr>
          <w:rFonts w:hint="eastAsia"/>
          <w:b/>
          <w:bCs/>
          <w:color w:val="auto"/>
          <w:highlight w:val="none"/>
          <w:lang w:val="en-US" w:eastAsia="zh-CN"/>
        </w:rPr>
        <w:t>C</w:t>
      </w:r>
      <w:r>
        <w:rPr>
          <w:rFonts w:hint="eastAsia"/>
          <w:b/>
          <w:bCs/>
          <w:color w:val="auto"/>
          <w:highlight w:val="none"/>
        </w:rPr>
        <w:t>.1</w:t>
      </w:r>
      <w:r>
        <w:rPr>
          <w:rFonts w:hint="eastAsia" w:eastAsia="宋体"/>
          <w:b/>
          <w:bCs/>
          <w:color w:val="auto"/>
          <w:highlight w:val="none"/>
          <w:lang w:eastAsia="zh-CN"/>
        </w:rPr>
        <w:t>园地农事防控记录表</w:t>
      </w:r>
    </w:p>
    <w:tbl>
      <w:tblPr>
        <w:tblStyle w:val="26"/>
        <w:tblW w:w="956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55"/>
        <w:gridCol w:w="1950"/>
        <w:gridCol w:w="640"/>
        <w:gridCol w:w="2598"/>
        <w:gridCol w:w="2018"/>
      </w:tblGrid>
      <w:tr w14:paraId="3243B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2" w:hRule="atLeast"/>
          <w:jc w:val="center"/>
        </w:trPr>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2B6D1">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园地</w:t>
            </w:r>
            <w:r>
              <w:rPr>
                <w:rFonts w:hint="eastAsia" w:ascii="宋体" w:hAnsi="宋体" w:eastAsia="宋体" w:cs="宋体"/>
                <w:i w:val="0"/>
                <w:iCs w:val="0"/>
                <w:color w:val="000000"/>
                <w:kern w:val="0"/>
                <w:sz w:val="18"/>
                <w:szCs w:val="18"/>
                <w:highlight w:val="none"/>
                <w:u w:val="none"/>
                <w:lang w:val="en-US" w:eastAsia="zh-CN" w:bidi="ar"/>
              </w:rPr>
              <w:t>名称</w:t>
            </w:r>
          </w:p>
        </w:tc>
        <w:tc>
          <w:tcPr>
            <w:tcW w:w="72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6378BE0">
            <w:pPr>
              <w:adjustRightInd/>
              <w:spacing w:line="240" w:lineRule="auto"/>
              <w:jc w:val="center"/>
              <w:rPr>
                <w:rFonts w:hint="eastAsia" w:ascii="宋体" w:hAnsi="宋体" w:eastAsia="宋体" w:cs="宋体"/>
                <w:i w:val="0"/>
                <w:iCs w:val="0"/>
                <w:color w:val="000000"/>
                <w:sz w:val="18"/>
                <w:szCs w:val="18"/>
                <w:highlight w:val="none"/>
                <w:u w:val="none"/>
              </w:rPr>
            </w:pPr>
          </w:p>
        </w:tc>
      </w:tr>
      <w:tr w14:paraId="6A3B3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4" w:hRule="atLeast"/>
          <w:jc w:val="center"/>
        </w:trPr>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57FE6">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地点</w:t>
            </w:r>
          </w:p>
        </w:tc>
        <w:tc>
          <w:tcPr>
            <w:tcW w:w="72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B2CD43B">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val="0"/>
                <w:bCs w:val="0"/>
                <w:i w:val="0"/>
                <w:iCs w:val="0"/>
                <w:color w:val="000000"/>
                <w:kern w:val="0"/>
                <w:sz w:val="18"/>
                <w:szCs w:val="18"/>
                <w:highlight w:val="none"/>
                <w:u w:val="none"/>
                <w:lang w:val="en-US" w:eastAsia="zh-CN" w:bidi="ar"/>
              </w:rPr>
              <w:t>县    乡    （镇）   村     屯</w:t>
            </w:r>
          </w:p>
        </w:tc>
      </w:tr>
      <w:tr w14:paraId="04643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C1387">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园地</w:t>
            </w:r>
            <w:r>
              <w:rPr>
                <w:rFonts w:hint="eastAsia" w:ascii="宋体" w:hAnsi="宋体" w:eastAsia="宋体" w:cs="宋体"/>
                <w:i w:val="0"/>
                <w:iCs w:val="0"/>
                <w:color w:val="000000"/>
                <w:kern w:val="0"/>
                <w:sz w:val="18"/>
                <w:szCs w:val="18"/>
                <w:highlight w:val="none"/>
                <w:u w:val="none"/>
                <w:lang w:val="en-US" w:eastAsia="zh-CN" w:bidi="ar"/>
              </w:rPr>
              <w:t>负责人</w:t>
            </w:r>
          </w:p>
        </w:tc>
        <w:tc>
          <w:tcPr>
            <w:tcW w:w="2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B18364">
            <w:pPr>
              <w:adjustRightInd/>
              <w:spacing w:line="240" w:lineRule="auto"/>
              <w:jc w:val="center"/>
              <w:rPr>
                <w:rFonts w:hint="eastAsia" w:ascii="宋体" w:hAnsi="宋体" w:eastAsia="宋体" w:cs="宋体"/>
                <w:i w:val="0"/>
                <w:iCs w:val="0"/>
                <w:color w:val="000000"/>
                <w:sz w:val="18"/>
                <w:szCs w:val="18"/>
                <w:highlight w:val="none"/>
                <w:u w:val="none"/>
              </w:rPr>
            </w:pPr>
          </w:p>
        </w:tc>
        <w:tc>
          <w:tcPr>
            <w:tcW w:w="2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E7434">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联系方式</w:t>
            </w:r>
          </w:p>
        </w:tc>
        <w:tc>
          <w:tcPr>
            <w:tcW w:w="2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CAEB8">
            <w:pPr>
              <w:adjustRightInd/>
              <w:spacing w:line="240" w:lineRule="auto"/>
              <w:jc w:val="center"/>
              <w:rPr>
                <w:rFonts w:hint="eastAsia" w:ascii="宋体" w:hAnsi="宋体" w:eastAsia="宋体" w:cs="宋体"/>
                <w:i w:val="0"/>
                <w:iCs w:val="0"/>
                <w:color w:val="000000"/>
                <w:sz w:val="18"/>
                <w:szCs w:val="18"/>
                <w:highlight w:val="none"/>
                <w:u w:val="none"/>
              </w:rPr>
            </w:pPr>
          </w:p>
        </w:tc>
      </w:tr>
      <w:tr w14:paraId="32280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95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C1E9D7E">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农事活动记录</w:t>
            </w:r>
          </w:p>
        </w:tc>
      </w:tr>
      <w:tr w14:paraId="41C6D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jc w:val="center"/>
        </w:trPr>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EF1DD">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时间</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5ADD7">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主要病虫害</w:t>
            </w:r>
          </w:p>
        </w:tc>
        <w:tc>
          <w:tcPr>
            <w:tcW w:w="32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0972CE">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采取的农技措施</w:t>
            </w:r>
          </w:p>
        </w:tc>
        <w:tc>
          <w:tcPr>
            <w:tcW w:w="2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E2C4A">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记录人</w:t>
            </w:r>
          </w:p>
        </w:tc>
      </w:tr>
      <w:tr w14:paraId="4043D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17" w:hRule="atLeast"/>
          <w:jc w:val="center"/>
        </w:trPr>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7D08F">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45EB8">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32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5CB407">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073D3">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14:paraId="1DB9A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17" w:hRule="atLeast"/>
          <w:jc w:val="center"/>
        </w:trPr>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310E6">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32D4">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32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C9CA09">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50439">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14:paraId="52058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517" w:hRule="atLeast"/>
          <w:jc w:val="center"/>
        </w:trPr>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778C3">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5BBC">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32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1D053C">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FE39D">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14:paraId="31063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17" w:hRule="atLeast"/>
          <w:jc w:val="center"/>
        </w:trPr>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60D5A">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35CA4">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32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EDAEE2">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E3E9A">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14:paraId="5AD04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17" w:hRule="atLeast"/>
          <w:jc w:val="center"/>
        </w:trPr>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4C06E">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9694E">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32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A8FBBB">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63BFA">
            <w:pPr>
              <w:keepNext w:val="0"/>
              <w:keepLines w:val="0"/>
              <w:widowControl/>
              <w:suppressLineNumbers w:val="0"/>
              <w:adjustRightInd/>
              <w:spacing w:line="240" w:lineRule="auto"/>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bl>
    <w:p w14:paraId="56B27C81">
      <w:pPr>
        <w:pStyle w:val="56"/>
        <w:ind w:firstLine="0" w:firstLineChars="0"/>
        <w:jc w:val="center"/>
        <w:rPr>
          <w:rFonts w:hint="eastAsia"/>
          <w:b/>
          <w:bCs/>
          <w:color w:val="auto"/>
          <w:highlight w:val="yellow"/>
          <w:lang w:eastAsia="zh-CN"/>
        </w:rPr>
      </w:pPr>
    </w:p>
    <w:p w14:paraId="693FD829">
      <w:pPr>
        <w:pStyle w:val="56"/>
        <w:ind w:firstLine="420"/>
      </w:pPr>
    </w:p>
    <w:p w14:paraId="0FEA8E02">
      <w:pPr>
        <w:pStyle w:val="56"/>
        <w:ind w:firstLine="420"/>
      </w:pPr>
    </w:p>
    <w:bookmarkEnd w:id="18"/>
    <w:p w14:paraId="7CC692BB">
      <w:pPr>
        <w:pStyle w:val="56"/>
        <w:ind w:firstLine="0" w:firstLineChars="0"/>
        <w:jc w:val="center"/>
      </w:pPr>
      <w:bookmarkStart w:id="40"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stretch>
                      <a:fillRect/>
                    </a:stretch>
                  </pic:blipFill>
                  <pic:spPr>
                    <a:xfrm>
                      <a:off x="0" y="0"/>
                      <a:ext cx="1485900" cy="317500"/>
                    </a:xfrm>
                    <a:prstGeom prst="rect">
                      <a:avLst/>
                    </a:prstGeom>
                  </pic:spPr>
                </pic:pic>
              </a:graphicData>
            </a:graphic>
          </wp:inline>
        </w:drawing>
      </w:r>
      <w:bookmarkEnd w:id="40"/>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ËÎÌå">
    <w:altName w:val="Times New Roman"/>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ºÚÌå">
    <w:altName w:val="DejaVu Math TeX Gyre"/>
    <w:panose1 w:val="00000000000000000000"/>
    <w:charset w:val="00"/>
    <w:family w:val="swiss"/>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7C71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5477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A50D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40638">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797C9">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6641B">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7EA84">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9E7D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79FEE">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1959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D1245">
    <w:pPr>
      <w:pStyle w:val="61"/>
    </w:pPr>
    <w:r>
      <w:fldChar w:fldCharType="begin"/>
    </w:r>
    <w:r>
      <w:instrText xml:space="preserve"> STYLEREF  标准文件_文件编号  \* MERGEFORMAT </w:instrText>
    </w:r>
    <w:r>
      <w:fldChar w:fldCharType="separate"/>
    </w:r>
    <w:r>
      <w:t>T/LZBX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2D272">
    <w:pPr>
      <w:pStyle w:val="62"/>
    </w:pPr>
    <w:r>
      <w:fldChar w:fldCharType="begin"/>
    </w:r>
    <w:r>
      <w:instrText xml:space="preserve"> STYLEREF  标准文件_文件编号 \* MERGEFORMAT </w:instrText>
    </w:r>
    <w:r>
      <w:fldChar w:fldCharType="separate"/>
    </w:r>
    <w:r>
      <w:t>T/LZBX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EAA3F">
    <w:pPr>
      <w:pStyle w:val="61"/>
    </w:pPr>
    <w:r>
      <w:fldChar w:fldCharType="begin"/>
    </w:r>
    <w:r>
      <w:instrText xml:space="preserve"> STYLEREF  标准文件_文件编号  \* MERGEFORMAT </w:instrText>
    </w:r>
    <w:r>
      <w:fldChar w:fldCharType="separate"/>
    </w:r>
    <w:r>
      <w:t>T/LZBX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6995D">
    <w:pPr>
      <w:pStyle w:val="62"/>
    </w:pPr>
    <w:r>
      <w:fldChar w:fldCharType="begin"/>
    </w:r>
    <w:r>
      <w:instrText xml:space="preserve"> STYLEREF  标准文件_文件编号 \* MERGEFORMAT </w:instrText>
    </w:r>
    <w:r>
      <w:fldChar w:fldCharType="separate"/>
    </w:r>
    <w:r>
      <w:t>T/LZBX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attachedTemplate r:id="rId1"/>
  <w:documentProtection w:edit="forms" w:enforcement="1" w:cryptProviderType="rsaFull" w:cryptAlgorithmClass="hash" w:cryptAlgorithmType="typeAny" w:cryptAlgorithmSid="4" w:cryptSpinCount="100000" w:hash="iDvBV/X9j0nBjhn9+axK7I+Ue7k=" w:salt="ai701D7mNuFpIKvx0LC20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46E"/>
    <w:rsid w:val="0000040A"/>
    <w:rsid w:val="00000A94"/>
    <w:rsid w:val="00001972"/>
    <w:rsid w:val="00001D9A"/>
    <w:rsid w:val="00007B3A"/>
    <w:rsid w:val="00010212"/>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1F51"/>
    <w:rsid w:val="000622D4"/>
    <w:rsid w:val="00062A2A"/>
    <w:rsid w:val="0006357D"/>
    <w:rsid w:val="00064165"/>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DF8"/>
    <w:rsid w:val="000D4B9C"/>
    <w:rsid w:val="000D4EB6"/>
    <w:rsid w:val="000D753B"/>
    <w:rsid w:val="000E4C9E"/>
    <w:rsid w:val="000E6FD7"/>
    <w:rsid w:val="000F06E1"/>
    <w:rsid w:val="000F0E3C"/>
    <w:rsid w:val="000F19D5"/>
    <w:rsid w:val="000F4AEA"/>
    <w:rsid w:val="000F633F"/>
    <w:rsid w:val="000F67E9"/>
    <w:rsid w:val="00104277"/>
    <w:rsid w:val="00104926"/>
    <w:rsid w:val="00113B1E"/>
    <w:rsid w:val="0011711C"/>
    <w:rsid w:val="0012059C"/>
    <w:rsid w:val="0012335E"/>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1E4"/>
    <w:rsid w:val="001B06E8"/>
    <w:rsid w:val="001B4ED9"/>
    <w:rsid w:val="001B71D0"/>
    <w:rsid w:val="001B71EE"/>
    <w:rsid w:val="001C04A8"/>
    <w:rsid w:val="001C0F7F"/>
    <w:rsid w:val="001C2C03"/>
    <w:rsid w:val="001C42F7"/>
    <w:rsid w:val="001C49E5"/>
    <w:rsid w:val="001C680C"/>
    <w:rsid w:val="001C7515"/>
    <w:rsid w:val="001C7FEA"/>
    <w:rsid w:val="001D0499"/>
    <w:rsid w:val="001D0BBE"/>
    <w:rsid w:val="001D0ED4"/>
    <w:rsid w:val="001D212F"/>
    <w:rsid w:val="001D29D7"/>
    <w:rsid w:val="001D2DE7"/>
    <w:rsid w:val="001D3148"/>
    <w:rsid w:val="001D411C"/>
    <w:rsid w:val="001E1B6A"/>
    <w:rsid w:val="001E2484"/>
    <w:rsid w:val="001E3CC4"/>
    <w:rsid w:val="001E4882"/>
    <w:rsid w:val="001E73AB"/>
    <w:rsid w:val="001F092D"/>
    <w:rsid w:val="001F143A"/>
    <w:rsid w:val="001F1605"/>
    <w:rsid w:val="001F2508"/>
    <w:rsid w:val="001F29E5"/>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C16"/>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33DC"/>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42B4"/>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012"/>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1444"/>
    <w:rsid w:val="00452D6B"/>
    <w:rsid w:val="00454484"/>
    <w:rsid w:val="0045517B"/>
    <w:rsid w:val="00463B77"/>
    <w:rsid w:val="00463C7B"/>
    <w:rsid w:val="004644A6"/>
    <w:rsid w:val="004659BD"/>
    <w:rsid w:val="00470775"/>
    <w:rsid w:val="0047302B"/>
    <w:rsid w:val="004746B1"/>
    <w:rsid w:val="00475426"/>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7B5F"/>
    <w:rsid w:val="004B0272"/>
    <w:rsid w:val="004B2701"/>
    <w:rsid w:val="004B2E1B"/>
    <w:rsid w:val="004B3AA8"/>
    <w:rsid w:val="004B3E93"/>
    <w:rsid w:val="004C1FBC"/>
    <w:rsid w:val="004C29EE"/>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9B3"/>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2D6"/>
    <w:rsid w:val="0056487B"/>
    <w:rsid w:val="00564FB9"/>
    <w:rsid w:val="00573D9E"/>
    <w:rsid w:val="005801E3"/>
    <w:rsid w:val="0058071F"/>
    <w:rsid w:val="00581802"/>
    <w:rsid w:val="005836A8"/>
    <w:rsid w:val="0058409C"/>
    <w:rsid w:val="00584262"/>
    <w:rsid w:val="00586630"/>
    <w:rsid w:val="00587ADD"/>
    <w:rsid w:val="00591E27"/>
    <w:rsid w:val="00596160"/>
    <w:rsid w:val="005966E2"/>
    <w:rsid w:val="00597007"/>
    <w:rsid w:val="0059783F"/>
    <w:rsid w:val="005A0966"/>
    <w:rsid w:val="005A11B7"/>
    <w:rsid w:val="005A260B"/>
    <w:rsid w:val="005A4A1B"/>
    <w:rsid w:val="005A7830"/>
    <w:rsid w:val="005A7FCE"/>
    <w:rsid w:val="005B0F3F"/>
    <w:rsid w:val="005B4903"/>
    <w:rsid w:val="005B51CE"/>
    <w:rsid w:val="005B5885"/>
    <w:rsid w:val="005B5CD7"/>
    <w:rsid w:val="005B6100"/>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A1C"/>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5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1345"/>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99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B00"/>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502"/>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46E"/>
    <w:rsid w:val="00894836"/>
    <w:rsid w:val="00895172"/>
    <w:rsid w:val="00895680"/>
    <w:rsid w:val="00896DFF"/>
    <w:rsid w:val="0089762C"/>
    <w:rsid w:val="008A1893"/>
    <w:rsid w:val="008A3215"/>
    <w:rsid w:val="008A57E6"/>
    <w:rsid w:val="008A6F81"/>
    <w:rsid w:val="008A769A"/>
    <w:rsid w:val="008B0C9C"/>
    <w:rsid w:val="008B166D"/>
    <w:rsid w:val="008B17F4"/>
    <w:rsid w:val="008B3609"/>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66C"/>
    <w:rsid w:val="008D5733"/>
    <w:rsid w:val="008D622B"/>
    <w:rsid w:val="008D666C"/>
    <w:rsid w:val="008D7B54"/>
    <w:rsid w:val="008E0C9D"/>
    <w:rsid w:val="008E1648"/>
    <w:rsid w:val="008E1B3E"/>
    <w:rsid w:val="008E1BED"/>
    <w:rsid w:val="008E2319"/>
    <w:rsid w:val="008E4BB6"/>
    <w:rsid w:val="008E5518"/>
    <w:rsid w:val="008E6A84"/>
    <w:rsid w:val="008F0CDC"/>
    <w:rsid w:val="008F17A3"/>
    <w:rsid w:val="008F1ED3"/>
    <w:rsid w:val="008F23A5"/>
    <w:rsid w:val="008F3F68"/>
    <w:rsid w:val="008F4C29"/>
    <w:rsid w:val="008F70BD"/>
    <w:rsid w:val="008F788F"/>
    <w:rsid w:val="008F7EA2"/>
    <w:rsid w:val="00902722"/>
    <w:rsid w:val="009027BC"/>
    <w:rsid w:val="009062E6"/>
    <w:rsid w:val="00911BE5"/>
    <w:rsid w:val="00913CA9"/>
    <w:rsid w:val="0091423F"/>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3A2"/>
    <w:rsid w:val="009B09E0"/>
    <w:rsid w:val="009B0BC5"/>
    <w:rsid w:val="009B1247"/>
    <w:rsid w:val="009B46F9"/>
    <w:rsid w:val="009B6029"/>
    <w:rsid w:val="009B6971"/>
    <w:rsid w:val="009B7BC8"/>
    <w:rsid w:val="009C27F1"/>
    <w:rsid w:val="009C3152"/>
    <w:rsid w:val="009C4CFA"/>
    <w:rsid w:val="009C5070"/>
    <w:rsid w:val="009D112C"/>
    <w:rsid w:val="009D47FA"/>
    <w:rsid w:val="009D4C5B"/>
    <w:rsid w:val="009D50D2"/>
    <w:rsid w:val="009D6BCA"/>
    <w:rsid w:val="009E0F62"/>
    <w:rsid w:val="009E4A58"/>
    <w:rsid w:val="009E5386"/>
    <w:rsid w:val="009E5A2D"/>
    <w:rsid w:val="009E5AB2"/>
    <w:rsid w:val="009E6219"/>
    <w:rsid w:val="009F03B3"/>
    <w:rsid w:val="009F2B16"/>
    <w:rsid w:val="00A0096C"/>
    <w:rsid w:val="00A01757"/>
    <w:rsid w:val="00A028C0"/>
    <w:rsid w:val="00A02BAE"/>
    <w:rsid w:val="00A06A6B"/>
    <w:rsid w:val="00A07E47"/>
    <w:rsid w:val="00A129D0"/>
    <w:rsid w:val="00A12C33"/>
    <w:rsid w:val="00A138BA"/>
    <w:rsid w:val="00A14C8E"/>
    <w:rsid w:val="00A14EE2"/>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602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08"/>
    <w:rsid w:val="00B11D8A"/>
    <w:rsid w:val="00B12981"/>
    <w:rsid w:val="00B147DD"/>
    <w:rsid w:val="00B156FD"/>
    <w:rsid w:val="00B21F61"/>
    <w:rsid w:val="00B25F5A"/>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91C"/>
    <w:rsid w:val="00B939B1"/>
    <w:rsid w:val="00B96D40"/>
    <w:rsid w:val="00B97386"/>
    <w:rsid w:val="00BA263B"/>
    <w:rsid w:val="00BA42B2"/>
    <w:rsid w:val="00BA58D4"/>
    <w:rsid w:val="00BA5B9E"/>
    <w:rsid w:val="00BA7C9A"/>
    <w:rsid w:val="00BB2031"/>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236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5D6"/>
    <w:rsid w:val="00C64E95"/>
    <w:rsid w:val="00C71372"/>
    <w:rsid w:val="00C72410"/>
    <w:rsid w:val="00C72834"/>
    <w:rsid w:val="00C7287F"/>
    <w:rsid w:val="00C80982"/>
    <w:rsid w:val="00C80CB8"/>
    <w:rsid w:val="00C819F8"/>
    <w:rsid w:val="00C8248C"/>
    <w:rsid w:val="00C84E33"/>
    <w:rsid w:val="00C84F92"/>
    <w:rsid w:val="00C86D6F"/>
    <w:rsid w:val="00C905FC"/>
    <w:rsid w:val="00C92D03"/>
    <w:rsid w:val="00C9319C"/>
    <w:rsid w:val="00C9435D"/>
    <w:rsid w:val="00C94DF2"/>
    <w:rsid w:val="00C96741"/>
    <w:rsid w:val="00CA0233"/>
    <w:rsid w:val="00CA2D1B"/>
    <w:rsid w:val="00CA375D"/>
    <w:rsid w:val="00CA662A"/>
    <w:rsid w:val="00CA7AFD"/>
    <w:rsid w:val="00CA7C3C"/>
    <w:rsid w:val="00CB0189"/>
    <w:rsid w:val="00CB0BA2"/>
    <w:rsid w:val="00CB1A42"/>
    <w:rsid w:val="00CB1B0C"/>
    <w:rsid w:val="00CB2C0B"/>
    <w:rsid w:val="00CB517D"/>
    <w:rsid w:val="00CC038D"/>
    <w:rsid w:val="00CC08DB"/>
    <w:rsid w:val="00CC32C8"/>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231A"/>
    <w:rsid w:val="00D0321C"/>
    <w:rsid w:val="00D035EC"/>
    <w:rsid w:val="00D06AB1"/>
    <w:rsid w:val="00D072ED"/>
    <w:rsid w:val="00D07A16"/>
    <w:rsid w:val="00D1067E"/>
    <w:rsid w:val="00D10F50"/>
    <w:rsid w:val="00D11272"/>
    <w:rsid w:val="00D126F5"/>
    <w:rsid w:val="00D1489E"/>
    <w:rsid w:val="00D16621"/>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0C3"/>
    <w:rsid w:val="00D915C2"/>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043A"/>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08D9"/>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8D5"/>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6D33D47"/>
    <w:rsid w:val="07F824FF"/>
    <w:rsid w:val="0C807F6F"/>
    <w:rsid w:val="183F54D4"/>
    <w:rsid w:val="1A3E0516"/>
    <w:rsid w:val="280B47C0"/>
    <w:rsid w:val="3BD103B1"/>
    <w:rsid w:val="3C412564"/>
    <w:rsid w:val="3D53619C"/>
    <w:rsid w:val="55A54573"/>
    <w:rsid w:val="5F0D3550"/>
    <w:rsid w:val="ED7DD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Table Text"/>
    <w:basedOn w:val="1"/>
    <w:semiHidden/>
    <w:qFormat/>
    <w:uiPriority w:val="0"/>
    <w:rPr>
      <w:rFonts w:ascii="宋体" w:hAnsi="宋体" w:eastAsia="宋体" w:cs="宋体"/>
      <w:sz w:val="18"/>
      <w:szCs w:val="18"/>
      <w:lang w:val="en-US" w:eastAsia="en-US" w:bidi="ar-SA"/>
    </w:rPr>
  </w:style>
  <w:style w:type="table" w:customStyle="1" w:styleId="23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gxxc\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CD6B78F41AD4AB689BC7337D8669508"/>
        <w:style w:val=""/>
        <w:category>
          <w:name w:val="常规"/>
          <w:gallery w:val="placeholder"/>
        </w:category>
        <w:types>
          <w:type w:val="bbPlcHdr"/>
        </w:types>
        <w:behaviors>
          <w:behavior w:val="content"/>
        </w:behaviors>
        <w:description w:val=""/>
        <w:guid w:val="{F739D7F7-5955-4360-9381-C2058631A45B}"/>
      </w:docPartPr>
      <w:docPartBody>
        <w:p w14:paraId="351F90E3">
          <w:pPr>
            <w:pStyle w:val="5"/>
          </w:pPr>
          <w:r>
            <w:rPr>
              <w:rStyle w:val="4"/>
              <w:rFonts w:hint="eastAsia"/>
            </w:rPr>
            <w:t>单击或点击此处输入文字。</w:t>
          </w:r>
        </w:p>
      </w:docPartBody>
    </w:docPart>
    <w:docPart>
      <w:docPartPr>
        <w:name w:val="D980E5D57BA146F689FF01AEC171D01D"/>
        <w:style w:val=""/>
        <w:category>
          <w:name w:val="常规"/>
          <w:gallery w:val="placeholder"/>
        </w:category>
        <w:types>
          <w:type w:val="bbPlcHdr"/>
        </w:types>
        <w:behaviors>
          <w:behavior w:val="content"/>
        </w:behaviors>
        <w:description w:val=""/>
        <w:guid w:val="{9080E913-F471-41AB-8A28-62FFC20B469B}"/>
      </w:docPartPr>
      <w:docPartBody>
        <w:p w14:paraId="599A374C">
          <w:pPr>
            <w:pStyle w:val="6"/>
          </w:pPr>
          <w:r>
            <w:rPr>
              <w:rStyle w:val="4"/>
              <w:rFonts w:hint="eastAsia"/>
            </w:rPr>
            <w:t>选择一项。</w:t>
          </w:r>
        </w:p>
      </w:docPartBody>
    </w:docPart>
    <w:docPart>
      <w:docPartPr>
        <w:name w:val="51411411CDBB43749FAC5A3B5838E8A1"/>
        <w:style w:val=""/>
        <w:category>
          <w:name w:val="常规"/>
          <w:gallery w:val="placeholder"/>
        </w:category>
        <w:types>
          <w:type w:val="bbPlcHdr"/>
        </w:types>
        <w:behaviors>
          <w:behavior w:val="content"/>
        </w:behaviors>
        <w:description w:val=""/>
        <w:guid w:val="{F085E139-9E69-47F3-B875-EEED671B92D1}"/>
      </w:docPartPr>
      <w:docPartBody>
        <w:p w14:paraId="5383DF6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E96"/>
    <w:rsid w:val="000449D6"/>
    <w:rsid w:val="000518F9"/>
    <w:rsid w:val="00182465"/>
    <w:rsid w:val="00235AB5"/>
    <w:rsid w:val="003E2BC3"/>
    <w:rsid w:val="003F7130"/>
    <w:rsid w:val="005D715A"/>
    <w:rsid w:val="006511DB"/>
    <w:rsid w:val="00846E96"/>
    <w:rsid w:val="008E028C"/>
    <w:rsid w:val="008E22D7"/>
    <w:rsid w:val="00916679"/>
    <w:rsid w:val="00942D79"/>
    <w:rsid w:val="009729C5"/>
    <w:rsid w:val="00A54EC4"/>
    <w:rsid w:val="00E02FB9"/>
    <w:rsid w:val="00EC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CD6B78F41AD4AB689BC7337D866950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980E5D57BA146F689FF01AEC171D01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1411411CDBB43749FAC5A3B5838E8A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13</Pages>
  <Words>3387</Words>
  <Characters>4099</Characters>
  <Lines>61</Lines>
  <Paragraphs>55</Paragraphs>
  <TotalTime>23</TotalTime>
  <ScaleCrop>false</ScaleCrop>
  <LinksUpToDate>false</LinksUpToDate>
  <CharactersWithSpaces>4344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2025-12-05T22:41:00Z</dcterms:created>
  <dc:creator>xu</dc:creator>
  <dc:description>&lt;config cover="true" show_menu="true" version="1.0.0" doctype="SDKXY"&gt;_x000d_
&lt;/config&gt;</dc:description>
  <cp:lastModifiedBy>康日晖</cp:lastModifiedBy>
  <cp:lastPrinted>2025-12-23T10:00:00Z</cp:lastPrinted>
  <dcterms:modified xsi:type="dcterms:W3CDTF">2026-04-24T07:51:14Z</dcterms:modified>
  <dc:title>地方标准</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eyJoZGlkIjoiMjU0MzM4ZDg1NTYyZThhY2ZkYmEzOGEyMWE4MzExNTMiLCJ1c2VySWQiOiIxNjQ2MjI2MjYwIn0=</vt:lpwstr>
  </property>
  <property fmtid="{D5CDD505-2E9C-101B-9397-08002B2CF9AE}" pid="16" name="KSOProductBuildVer">
    <vt:lpwstr>2052-12.1.0.23542</vt:lpwstr>
  </property>
  <property fmtid="{D5CDD505-2E9C-101B-9397-08002B2CF9AE}" pid="17" name="ICV">
    <vt:lpwstr>3B44D771141F49E5BF1E279F9F5305E8_13</vt:lpwstr>
  </property>
</Properties>
</file>